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60426.htm"/>
      <w:bookmarkStart w:id="1" w:name="ksf8k_0604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June 4, 2026</w:t>
      </w:r>
    </w:p>
    <w:p>
      <w:pPr>
        <w:pStyle w:val="TextBody"/>
        <w:bidi w:val="0"/>
        <w:jc w:val="center"/>
        <w:rPr/>
      </w:pPr>
      <w:r>
        <w:rPr/>
        <w:t>_______________________________</w:t>
      </w:r>
    </w:p>
    <w:p>
      <w:pPr>
        <w:pStyle w:val="TextBody"/>
        <w:bidi w:val="0"/>
        <w:spacing w:before="120" w:after="283"/>
        <w:jc w:val="center"/>
        <w:rPr>
          <w:b/>
          <w:sz w:val="24"/>
        </w:rPr>
      </w:pPr>
      <w:r>
        <w:rPr>
          <w:b/>
          <w:sz w:val="24"/>
        </w:rPr>
        <w:t>Zumiez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Washington</w:t>
            </w:r>
          </w:p>
        </w:tc>
        <w:tc>
          <w:tcPr>
            <w:tcW w:w="2210" w:type="dxa"/>
            <w:tcBorders/>
            <w:vAlign w:val="center"/>
          </w:tcPr>
          <w:p>
            <w:pPr>
              <w:pStyle w:val="TableContents"/>
              <w:bidi w:val="0"/>
              <w:spacing w:before="0" w:after="283"/>
              <w:jc w:val="center"/>
              <w:rPr>
                <w:b/>
                <w:sz w:val="20"/>
              </w:rPr>
            </w:pPr>
            <w:r>
              <w:rPr>
                <w:b/>
                <w:sz w:val="20"/>
              </w:rPr>
              <w:t>000-51300</w:t>
            </w:r>
          </w:p>
        </w:tc>
        <w:tc>
          <w:tcPr>
            <w:tcW w:w="2900" w:type="dxa"/>
            <w:tcBorders/>
            <w:vAlign w:val="center"/>
          </w:tcPr>
          <w:p>
            <w:pPr>
              <w:pStyle w:val="TableContents"/>
              <w:bidi w:val="0"/>
              <w:spacing w:before="0" w:after="283"/>
              <w:jc w:val="center"/>
              <w:rPr>
                <w:b/>
                <w:sz w:val="20"/>
              </w:rPr>
            </w:pPr>
            <w:r>
              <w:rPr>
                <w:b/>
                <w:sz w:val="20"/>
              </w:rPr>
              <w:t>91-1040022</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4001 204th Street SW</w:t>
      </w:r>
    </w:p>
    <w:p>
      <w:pPr>
        <w:pStyle w:val="TextBody"/>
        <w:bidi w:val="0"/>
        <w:spacing w:before="0" w:after="0"/>
        <w:jc w:val="center"/>
        <w:rPr>
          <w:b/>
          <w:sz w:val="20"/>
        </w:rPr>
      </w:pPr>
      <w:r>
        <w:rPr>
          <w:b/>
          <w:sz w:val="20"/>
        </w:rPr>
        <w:t>Lynnwood, Washington 98036</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(425) 551-1500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6585" w:type="dxa"/>
        <w:jc w:val="left"/>
        <w:tblInd w:w="0" w:type="dxa"/>
        <w:tblLayout w:type="fixed"/>
        <w:tblCellMar>
          <w:top w:w="0" w:type="dxa"/>
          <w:left w:w="0" w:type="dxa"/>
          <w:bottom w:w="28" w:type="dxa"/>
          <w:right w:w="0" w:type="dxa"/>
        </w:tblCellMar>
      </w:tblPr>
      <w:tblGrid>
        <w:gridCol w:w="1475"/>
        <w:gridCol w:w="1535"/>
        <w:gridCol w:w="3575"/>
      </w:tblGrid>
      <w:tr>
        <w:trPr/>
        <w:tc>
          <w:tcPr>
            <w:tcW w:w="14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1475" w:type="dxa"/>
            <w:tcBorders/>
            <w:tcMar>
              <w:bottom w:w="0" w:type="dxa"/>
            </w:tcMar>
            <w:vAlign w:val="center"/>
          </w:tcPr>
          <w:p>
            <w:pPr>
              <w:pStyle w:val="TableContents"/>
              <w:bidi w:val="0"/>
              <w:spacing w:before="0" w:after="283"/>
              <w:jc w:val="center"/>
              <w:rPr>
                <w:sz w:val="20"/>
              </w:rPr>
            </w:pPr>
            <w:r>
              <w:rPr>
                <w:sz w:val="20"/>
              </w:rPr>
              <w:t>Common Stock</w:t>
            </w:r>
          </w:p>
        </w:tc>
        <w:tc>
          <w:tcPr>
            <w:tcW w:w="1535" w:type="dxa"/>
            <w:tcBorders/>
            <w:tcMar>
              <w:bottom w:w="0" w:type="dxa"/>
            </w:tcMar>
            <w:vAlign w:val="center"/>
          </w:tcPr>
          <w:p>
            <w:pPr>
              <w:pStyle w:val="TableContents"/>
              <w:bidi w:val="0"/>
              <w:spacing w:before="0" w:after="283"/>
              <w:jc w:val="center"/>
              <w:rPr>
                <w:sz w:val="20"/>
              </w:rPr>
            </w:pPr>
            <w:r>
              <w:rPr>
                <w:sz w:val="20"/>
              </w:rPr>
              <w:t>ZUMZ</w:t>
            </w:r>
          </w:p>
        </w:tc>
        <w:tc>
          <w:tcPr>
            <w:tcW w:w="3575" w:type="dxa"/>
            <w:tcBorders/>
            <w:tcMar>
              <w:bottom w:w="0" w:type="dxa"/>
            </w:tcMar>
            <w:vAlign w:val="center"/>
          </w:tcPr>
          <w:p>
            <w:pPr>
              <w:pStyle w:val="TableContents"/>
              <w:bidi w:val="0"/>
              <w:spacing w:before="0" w:after="283"/>
              <w:jc w:val="center"/>
              <w:rPr>
                <w:sz w:val="20"/>
              </w:rPr>
            </w:pPr>
            <w:r>
              <w:rPr>
                <w:sz w:val="20"/>
              </w:rPr>
              <w:t>Nasdaq Global Select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spacing w:before="0" w:after="0"/>
        <w:ind w:left="0" w:right="0" w:hanging="0"/>
        <w:jc w:val="left"/>
        <w:rPr>
          <w:b w:val="false"/>
          <w:color w:val="000000"/>
          <w:spacing w:val="0"/>
          <w:sz w:val="20"/>
        </w:rPr>
      </w:pPr>
      <w:r>
        <w:rPr>
          <w:b w:val="false"/>
          <w:color w:val="000000"/>
          <w:spacing w:val="0"/>
          <w:sz w:val="20"/>
        </w:rPr>
        <w:t>On June 4, 2026, the Registrant issued a press release, a copy of which is attached hereto as Exhibit 99.1 and is incorporated herein by reference.</w:t>
      </w:r>
    </w:p>
    <w:p>
      <w:pPr>
        <w:pStyle w:val="TextBody"/>
        <w:bidi w:val="0"/>
        <w:spacing w:before="0" w:after="0"/>
        <w:ind w:left="0" w:right="0" w:hanging="0"/>
        <w:jc w:val="left"/>
        <w:rPr>
          <w:color w:val="000000"/>
          <w:spacing w:val="0"/>
        </w:rPr>
      </w:pPr>
      <w:r>
        <w:rPr>
          <w:color w:val="000000"/>
          <w:spacing w:val="0"/>
        </w:rPr>
        <w:t> </w:t>
      </w:r>
    </w:p>
    <w:p>
      <w:pPr>
        <w:pStyle w:val="TextBody"/>
        <w:bidi w:val="0"/>
        <w:spacing w:before="0" w:after="0"/>
        <w:ind w:left="0" w:right="0" w:hanging="0"/>
        <w:jc w:val="left"/>
        <w:rPr>
          <w:b w:val="false"/>
          <w:color w:val="000000"/>
          <w:spacing w:val="0"/>
          <w:sz w:val="20"/>
        </w:rPr>
      </w:pPr>
      <w:r>
        <w:rPr>
          <w:b w:val="false"/>
          <w:color w:val="000000"/>
          <w:spacing w:val="0"/>
          <w:sz w:val="20"/>
        </w:rPr>
        <w:t>In accordance with General Instruction B.2. of Form 8-K, the information contained in this report and the Press Release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a filing.</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tbl>
      <w:tblPr>
        <w:tblW w:w="8110" w:type="dxa"/>
        <w:jc w:val="left"/>
        <w:tblInd w:w="0" w:type="dxa"/>
        <w:tblLayout w:type="fixed"/>
        <w:tblCellMar>
          <w:top w:w="0" w:type="dxa"/>
          <w:left w:w="0" w:type="dxa"/>
          <w:bottom w:w="0" w:type="dxa"/>
          <w:right w:w="0" w:type="dxa"/>
        </w:tblCellMar>
      </w:tblPr>
      <w:tblGrid>
        <w:gridCol w:w="440"/>
        <w:gridCol w:w="60"/>
        <w:gridCol w:w="7610"/>
      </w:tblGrid>
      <w:tr>
        <w:trPr/>
        <w:tc>
          <w:tcPr>
            <w:tcW w:w="440" w:type="dxa"/>
            <w:tcBorders/>
            <w:vAlign w:val="center"/>
          </w:tcPr>
          <w:p>
            <w:pPr>
              <w:pStyle w:val="TableContents"/>
              <w:bidi w:val="0"/>
              <w:spacing w:before="0" w:after="283"/>
              <w:jc w:val="left"/>
              <w:rPr/>
            </w:pPr>
            <w:hyperlink w:anchor="exh_991.htm">
              <w:r>
                <w:rPr>
                  <w:rStyle w:val="InternetLink"/>
                </w:rPr>
                <w:t>99.1</w:t>
              </w:r>
            </w:hyperlink>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hyperlink w:anchor="exh_991.htm">
              <w:r>
                <w:rPr>
                  <w:rStyle w:val="InternetLink"/>
                </w:rPr>
                <w:t>Press Release dated June 4, 2026</w:t>
              </w:r>
            </w:hyperlink>
          </w:p>
        </w:tc>
      </w:tr>
      <w:tr>
        <w:trPr/>
        <w:tc>
          <w:tcPr>
            <w:tcW w:w="44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065" w:type="dxa"/>
        <w:jc w:val="left"/>
        <w:tblInd w:w="0" w:type="dxa"/>
        <w:tblLayout w:type="fixed"/>
        <w:tblCellMar>
          <w:top w:w="0" w:type="dxa"/>
          <w:left w:w="0" w:type="dxa"/>
          <w:bottom w:w="0" w:type="dxa"/>
          <w:right w:w="0" w:type="dxa"/>
        </w:tblCellMar>
      </w:tblPr>
      <w:tblGrid>
        <w:gridCol w:w="1535"/>
        <w:gridCol w:w="365"/>
        <w:gridCol w:w="2165"/>
      </w:tblGrid>
      <w:tr>
        <w:trPr/>
        <w:tc>
          <w:tcPr>
            <w:tcW w:w="153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b/>
                <w:sz w:val="20"/>
              </w:rPr>
            </w:pPr>
            <w:r>
              <w:rPr>
                <w:b/>
                <w:sz w:val="20"/>
              </w:rPr>
              <w:t>Zumiez Inc.</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20"/>
              </w:rPr>
            </w:pPr>
            <w:r>
              <w:rPr>
                <w:sz w:val="20"/>
              </w:rPr>
              <w:t>Date: June 4, 2026</w:t>
            </w:r>
          </w:p>
        </w:tc>
        <w:tc>
          <w:tcPr>
            <w:tcW w:w="365" w:type="dxa"/>
            <w:tcBorders/>
            <w:vAlign w:val="center"/>
          </w:tcPr>
          <w:p>
            <w:pPr>
              <w:pStyle w:val="TableContents"/>
              <w:bidi w:val="0"/>
              <w:spacing w:before="0" w:after="283"/>
              <w:jc w:val="left"/>
              <w:rPr>
                <w:sz w:val="20"/>
              </w:rPr>
            </w:pPr>
            <w:r>
              <w:rPr>
                <w:sz w:val="20"/>
              </w:rPr>
              <w:t>By: </w:t>
            </w:r>
          </w:p>
        </w:tc>
        <w:tc>
          <w:tcPr>
            <w:tcW w:w="2165" w:type="dxa"/>
            <w:tcBorders/>
            <w:vAlign w:val="center"/>
          </w:tcPr>
          <w:p>
            <w:pPr>
              <w:pStyle w:val="TableContents"/>
              <w:bidi w:val="0"/>
              <w:spacing w:before="0" w:after="283"/>
              <w:jc w:val="left"/>
              <w:rPr>
                <w:sz w:val="20"/>
                <w:u w:val="single"/>
              </w:rPr>
            </w:pPr>
            <w:r>
              <w:rPr>
                <w:sz w:val="20"/>
                <w:u w:val="single"/>
              </w:rPr>
              <w:t>/s/ Richard M. Brooks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20"/>
              </w:rPr>
            </w:pPr>
            <w:r>
              <w:rPr>
                <w:sz w:val="20"/>
              </w:rPr>
              <w:t>Richard M. Brooks</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20"/>
              </w:rPr>
            </w:pPr>
            <w:r>
              <w:rPr>
                <w:sz w:val="20"/>
              </w:rPr>
              <w:t>Chief Executive Officer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Zumiez Inc. Announces Fiscal 2026 First Quarter Results</w:t>
      </w:r>
    </w:p>
    <w:p>
      <w:pPr>
        <w:pStyle w:val="TextBody"/>
        <w:bidi w:val="0"/>
        <w:jc w:val="center"/>
        <w:rPr/>
      </w:pPr>
      <w:r>
        <w:rPr>
          <w:rStyle w:val="StrongEmphasis"/>
        </w:rPr>
        <w:t>First Quarter Comparable Sales Increased 4.0%</w:t>
      </w:r>
      <w:r>
        <w:rPr/>
        <w:br/>
      </w:r>
      <w:r>
        <w:rPr>
          <w:rStyle w:val="StrongEmphasis"/>
        </w:rPr>
        <w:t>Operating Loss Improved to $15.2 million</w:t>
      </w:r>
    </w:p>
    <w:p>
      <w:pPr>
        <w:pStyle w:val="TextBody"/>
        <w:bidi w:val="0"/>
        <w:spacing w:before="0" w:after="283"/>
        <w:jc w:val="left"/>
        <w:rPr/>
      </w:pPr>
      <w:r>
        <w:rPr/>
        <w:t>LYNNWOOD, Wash., June 04, 2026 (GLOBE NEWSWIRE) -- Zumiez Inc. (NASDAQ: ZUMZ) a leading specialty retailer of apparel, footwear, equipment and accessories for young men and women, today reported results for the first quarter ended May 2, 2026. </w:t>
      </w:r>
    </w:p>
    <w:p>
      <w:pPr>
        <w:pStyle w:val="TextBody"/>
        <w:bidi w:val="0"/>
        <w:spacing w:before="0" w:after="283"/>
        <w:jc w:val="left"/>
        <w:rPr/>
      </w:pPr>
      <w:r>
        <w:rPr/>
        <w:t>Net sales for the first quarter ended May 2, 2026 (13 weeks) increased 4.9% to $193.3 million from $184.3 million in the first quarter ended May 3, 2025 (13 weeks). Comparable sales for the thirteen weeks ended May 2, 2026, increased 4.0%. Net loss in the first quarter of fiscal 2026 was $13.3 million, or $0.82 per share, compared to a net loss of $14.3 million, or $0.79 per share, in the first quarter of the prior fiscal year. The first quarter of 2025 was negatively impacted by $2.9 million, or approximately $0.13 per share related to the settlement of a wage and hours lawsuit in California. Though operating income and net income improved year-over-year, EPS was down slightly given that the Company was in a loss position in the first quarter and reduced share counts through its share buyback programs.</w:t>
      </w:r>
    </w:p>
    <w:p>
      <w:pPr>
        <w:pStyle w:val="TextBody"/>
        <w:bidi w:val="0"/>
        <w:spacing w:before="0" w:after="283"/>
        <w:jc w:val="left"/>
        <w:rPr/>
      </w:pPr>
      <w:r>
        <w:rPr/>
        <w:t>On May 2, 2026, the Company had cash and current marketable securities of $124.2 million compared to cash and current marketable securities of $101.0 million on May 3, 2025. The increase was primarily driven by $47.5 million of cash flow from operations and the release of $3.0 million in restricted cash, partially offset by $19.0 million related to share repurchases and $10.5 million of capital expenditures. The Company repurchased 0.3 million shares during the first quarter of 2026 at an average cost including commission of $23.56 per share and a total cost of $6.2 million.</w:t>
      </w:r>
    </w:p>
    <w:p>
      <w:pPr>
        <w:pStyle w:val="TextBody"/>
        <w:bidi w:val="0"/>
        <w:spacing w:before="0" w:after="283"/>
        <w:jc w:val="left"/>
        <w:rPr/>
      </w:pPr>
      <w:r>
        <w:rPr/>
        <w:t>“</w:t>
      </w:r>
      <w:r>
        <w:rPr/>
        <w:t>We continue to make important progress towards sustained profitable growth,” said Rick Brooks, Chief Executive Officer of Zumiez Inc. “First quarter comparable sales increased mid-single digits for the second consecutive year driven by ongoing strength in our North American business and strong mid-single digit comps in Europe. Sales trends in the U.S. remained nicely positive during the quarter despite increasing pressure on consumers, underscoring the success of our recent merchandise assortments and customer experience initiatives. While still in the early innings, the work we are doing to replicate our full-price selling model in Europe is gaining traction, contributing to year-over-year improvements in sales and margin. Despite some softness in North America during the May period, we are encouraged that we have been able to grow sales and margin through the challenges in the macro environment and feel we are well positioned to capitalize during the key back-to-school and holiday seasons when the consumer has a reason to come out and shop.”</w:t>
      </w:r>
    </w:p>
    <w:p>
      <w:pPr>
        <w:pStyle w:val="TextBody"/>
        <w:bidi w:val="0"/>
        <w:spacing w:before="0" w:after="283"/>
        <w:jc w:val="left"/>
        <w:rPr/>
      </w:pPr>
      <w:r>
        <w:rPr>
          <w:u w:val="single"/>
        </w:rPr>
        <w:t>May 2026 Sales</w:t>
      </w:r>
      <w:r>
        <w:rPr/>
        <w:br/>
        <w:t>Net sales for the four-week period ended May 30, 2026, increased 0.1% compared to the four-week period ended May 31, 2025. Comparable sales for the four-week period ending May 30, 2026, decreased 0.1% from the comparable period in the prior year. From a regional perspective, comparable sales for North America decreased 1.5% and other international comparable sales increased 7.2%.</w:t>
      </w:r>
    </w:p>
    <w:p>
      <w:pPr>
        <w:pStyle w:val="TextBody"/>
        <w:bidi w:val="0"/>
        <w:spacing w:before="0" w:after="283"/>
        <w:jc w:val="left"/>
        <w:rPr/>
      </w:pPr>
      <w:r>
        <w:rPr>
          <w:u w:val="single"/>
        </w:rPr>
        <w:t>Fiscal 2026 Second Quarter Outlook</w:t>
      </w:r>
      <w:r>
        <w:rPr/>
        <w:br/>
        <w:t xml:space="preserve">The Company is introducing guidance for the three months ending August 1, 2026. Net sales are projected to be in the range of $210 to $215 million. Earnings per share are expected to be between a loss of $0.23 and a loss of $0.08. </w:t>
      </w:r>
    </w:p>
    <w:p>
      <w:pPr>
        <w:pStyle w:val="TextBody"/>
        <w:bidi w:val="0"/>
        <w:spacing w:before="0" w:after="283"/>
        <w:jc w:val="left"/>
        <w:rPr/>
      </w:pPr>
      <w:r>
        <w:rPr/>
        <w:t>In fiscal 2026 the Company currently intends to open approximately 5 new stores all located in North America and close roughly 26 stores, including 20 in North America and 6 internationally. </w:t>
      </w:r>
    </w:p>
    <w:p>
      <w:pPr>
        <w:pStyle w:val="TextBody"/>
        <w:bidi w:val="0"/>
        <w:spacing w:before="0" w:after="283"/>
        <w:jc w:val="left"/>
        <w:rPr/>
      </w:pPr>
      <w:r>
        <w:rPr>
          <w:u w:val="single"/>
        </w:rPr>
        <w:t>Conference call Information </w:t>
      </w:r>
      <w:r>
        <w:rPr/>
        <w:br/>
        <w:t>To access the conference call, please pre-register using this link (Registration Link)</w:t>
      </w:r>
      <w:r>
        <w:rPr>
          <w:rStyle w:val="StrongEmphasis"/>
        </w:rPr>
        <w:t>.</w:t>
      </w:r>
      <w:r>
        <w:rPr/>
        <w:t xml:space="preserve"> Registrants will receive confirmation with dial-in details. The conference call will also be available to interested parties through a live webcast at https://ir.zumiez.com. To avoid delays, we encourage participants to dial into the conference call fifteen minutes ahead of the scheduled start time. A replay of the webcast will also be available for a limited time at https://ir.zumiez.com.</w:t>
      </w:r>
    </w:p>
    <w:p>
      <w:pPr>
        <w:pStyle w:val="TextBody"/>
        <w:bidi w:val="0"/>
        <w:spacing w:before="0" w:after="283"/>
        <w:jc w:val="left"/>
        <w:rPr/>
      </w:pPr>
      <w:r>
        <w:rPr>
          <w:rStyle w:val="StrongEmphasis"/>
          <w:u w:val="single"/>
        </w:rPr>
        <w:t>About Zumiez Inc.</w:t>
      </w:r>
    </w:p>
    <w:p>
      <w:pPr>
        <w:pStyle w:val="TextBody"/>
        <w:bidi w:val="0"/>
        <w:spacing w:before="0" w:after="283"/>
        <w:jc w:val="left"/>
        <w:rPr/>
      </w:pPr>
      <w:r>
        <w:rPr/>
        <w:t>Zumiez is a leading specialty retailer of apparel, footwear, accessories and hardgoods for young men and women who want to express their individuality through the fashion, music, art and culture of action sports, streetwear, and other unique lifestyles. As of May 30, 2026, we operated 715 stores, including 560 in the United States, 45 in Canada, 83 in Europe and 27 in Australia. We operate under the names Zumiez, Blue Tomato and Fast Times. Additionally, we operate ecommerce web sites at zumiez.com, zumiez.ca, blue-tomato.com and fasttimes.com.au.</w:t>
      </w:r>
    </w:p>
    <w:p>
      <w:pPr>
        <w:pStyle w:val="TextBody"/>
        <w:bidi w:val="0"/>
        <w:spacing w:before="0" w:after="283"/>
        <w:jc w:val="left"/>
        <w:rPr/>
      </w:pPr>
      <w:r>
        <w:rPr>
          <w:rStyle w:val="StrongEmphasis"/>
          <w:u w:val="single"/>
        </w:rPr>
        <w:t>Safe Harbor Statement</w:t>
      </w:r>
    </w:p>
    <w:p>
      <w:pPr>
        <w:pStyle w:val="TextBody"/>
        <w:bidi w:val="0"/>
        <w:spacing w:before="0" w:after="283"/>
        <w:jc w:val="left"/>
        <w:rPr/>
      </w:pPr>
      <w:r>
        <w:rPr/>
        <w:t>Certain statements in this press release and oral statements relating thereto made from time to time by representatives of the Company may constitute forward-looking statements for purposes of the safe harbor provisions under the Private Securities Litigation Reform Act of 1995. These statements include, without limitation, predictions and guidance relating to the Company's future financial performance, brand and product category diversity, ability to adjust product mix, integration of acquired businesses, growing customer demand for our products and new store openings. In some cases, you can identify forward-looking statements by terminology such as, "may," "should," "expects," "plans," "anticipates," "believes," "estimates," "predicts," "potential," "continue," or the negative of these terms or other comparable terminology. These forward-looking statements are based on management's current expectations, but they involve a number of risks and uncertainties. Actual results and the timing of events could differ materially from those anticipated in the forward-looking statements as a result of risks and uncertainties, which include, without limitation, those described in the Company’s annual report on Form 10-K for the fiscal year ended February 1, 2025 as filed with the Securities and Exchange Commission and available at www.sec.gov. You are urged to consider these factors carefully in evaluating the forward-looking statements herein and are cautioned not to place undue reliance on such forward-looking statements, which are qualified in their entirety by this cautionary statement. The forward-looking statements speak only as of the date on which they are made, and the Company undertakes no obligation to publicly update such forward-looking statements to reflect subsequent events or circumstances.</w:t>
      </w:r>
    </w:p>
    <w:p>
      <w:pPr>
        <w:pStyle w:val="TextBody"/>
        <w:bidi w:val="0"/>
        <w:jc w:val="center"/>
        <w:rPr/>
      </w:pPr>
      <w:r>
        <w:rPr/>
      </w:r>
    </w:p>
    <w:tbl>
      <w:tblPr>
        <w:tblW w:w="10205" w:type="dxa"/>
        <w:jc w:val="left"/>
        <w:tblInd w:w="0" w:type="dxa"/>
        <w:tblLayout w:type="fixed"/>
        <w:tblCellMar>
          <w:top w:w="28" w:type="dxa"/>
          <w:left w:w="28" w:type="dxa"/>
          <w:bottom w:w="28" w:type="dxa"/>
          <w:right w:w="28" w:type="dxa"/>
        </w:tblCellMar>
      </w:tblPr>
      <w:tblGrid>
        <w:gridCol w:w="4601"/>
        <w:gridCol w:w="146"/>
        <w:gridCol w:w="232"/>
        <w:gridCol w:w="910"/>
        <w:gridCol w:w="186"/>
        <w:gridCol w:w="146"/>
        <w:gridCol w:w="741"/>
        <w:gridCol w:w="345"/>
        <w:gridCol w:w="146"/>
        <w:gridCol w:w="226"/>
        <w:gridCol w:w="1033"/>
        <w:gridCol w:w="211"/>
        <w:gridCol w:w="146"/>
        <w:gridCol w:w="737"/>
        <w:gridCol w:w="399"/>
      </w:tblGrid>
      <w:tr>
        <w:trPr/>
        <w:tc>
          <w:tcPr>
            <w:tcW w:w="10205" w:type="dxa"/>
            <w:gridSpan w:val="15"/>
            <w:tcBorders/>
            <w:vAlign w:val="center"/>
          </w:tcPr>
          <w:p>
            <w:pPr>
              <w:pStyle w:val="TableContents"/>
              <w:bidi w:val="0"/>
              <w:spacing w:before="0" w:after="283"/>
              <w:jc w:val="left"/>
              <w:rPr/>
            </w:pPr>
            <w:r>
              <w:rPr/>
              <w:t> </w:t>
            </w:r>
          </w:p>
        </w:tc>
      </w:tr>
      <w:tr>
        <w:trPr/>
        <w:tc>
          <w:tcPr>
            <w:tcW w:w="10205" w:type="dxa"/>
            <w:gridSpan w:val="15"/>
            <w:tcBorders/>
            <w:vAlign w:val="center"/>
          </w:tcPr>
          <w:p>
            <w:pPr>
              <w:pStyle w:val="TableContents"/>
              <w:bidi w:val="0"/>
              <w:spacing w:before="0" w:after="283"/>
              <w:jc w:val="center"/>
              <w:rPr/>
            </w:pPr>
            <w:r>
              <w:rPr>
                <w:rStyle w:val="StrongEmphasis"/>
              </w:rPr>
              <w:t>ZUMIEZ INC.</w:t>
              <w:br/>
              <w:t>CONDENSED CONSOLIDATED STATEMENTS OF LOSS</w:t>
              <w:br/>
              <w:t>(In thousands, except per share amounts)</w:t>
              <w:br/>
              <w:t>(Unaudited)</w:t>
            </w:r>
          </w:p>
        </w:tc>
      </w:tr>
      <w:tr>
        <w:trPr/>
        <w:tc>
          <w:tcPr>
            <w:tcW w:w="10205" w:type="dxa"/>
            <w:gridSpan w:val="15"/>
            <w:tcBorders/>
            <w:vAlign w:val="center"/>
          </w:tcPr>
          <w:p>
            <w:pPr>
              <w:pStyle w:val="TableContents"/>
              <w:bidi w:val="0"/>
              <w:spacing w:before="0" w:after="283"/>
              <w:jc w:val="left"/>
              <w:rPr/>
            </w:pPr>
            <w:r>
              <w:rPr/>
              <w:t> </w:t>
            </w:r>
          </w:p>
        </w:tc>
      </w:tr>
      <w:tr>
        <w:trPr/>
        <w:tc>
          <w:tcPr>
            <w:tcW w:w="4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5458" w:type="dxa"/>
            <w:gridSpan w:val="1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p>
        </w:tc>
      </w:tr>
      <w:tr>
        <w:trPr/>
        <w:tc>
          <w:tcPr>
            <w:tcW w:w="4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2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2, 2026</w:t>
            </w:r>
          </w:p>
        </w:tc>
        <w:tc>
          <w:tcPr>
            <w:tcW w:w="146"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Sales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4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3, 2025</w:t>
            </w:r>
          </w:p>
        </w:tc>
        <w:tc>
          <w:tcPr>
            <w:tcW w:w="146" w:type="dxa"/>
            <w:tcBorders/>
            <w:vAlign w:val="center"/>
          </w:tcPr>
          <w:p>
            <w:pPr>
              <w:pStyle w:val="TableContents"/>
              <w:bidi w:val="0"/>
              <w:spacing w:before="0" w:after="283"/>
              <w:jc w:val="left"/>
              <w:rPr/>
            </w:pPr>
            <w:r>
              <w:rPr/>
              <w:t> </w:t>
            </w:r>
          </w:p>
        </w:tc>
        <w:tc>
          <w:tcPr>
            <w:tcW w:w="113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Sales</w:t>
            </w:r>
          </w:p>
        </w:tc>
      </w:tr>
      <w:tr>
        <w:trPr/>
        <w:tc>
          <w:tcPr>
            <w:tcW w:w="4601" w:type="dxa"/>
            <w:tcBorders/>
            <w:vAlign w:val="center"/>
          </w:tcPr>
          <w:p>
            <w:pPr>
              <w:pStyle w:val="TableContents"/>
              <w:bidi w:val="0"/>
              <w:spacing w:before="0" w:after="283"/>
              <w:jc w:val="left"/>
              <w:rPr/>
            </w:pPr>
            <w:r>
              <w:rPr/>
              <w:t>Net sales</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193,348</w:t>
            </w:r>
          </w:p>
        </w:tc>
        <w:tc>
          <w:tcPr>
            <w:tcW w:w="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100.0</w:t>
            </w:r>
          </w:p>
        </w:tc>
        <w:tc>
          <w:tcPr>
            <w:tcW w:w="34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033" w:type="dxa"/>
            <w:tcBorders/>
            <w:vAlign w:val="center"/>
          </w:tcPr>
          <w:p>
            <w:pPr>
              <w:pStyle w:val="TableContents"/>
              <w:bidi w:val="0"/>
              <w:spacing w:before="0" w:after="283"/>
              <w:jc w:val="right"/>
              <w:rPr/>
            </w:pPr>
            <w:r>
              <w:rPr/>
              <w:t>184,343</w:t>
            </w:r>
          </w:p>
        </w:tc>
        <w:tc>
          <w:tcPr>
            <w:tcW w:w="2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100.0</w:t>
            </w:r>
          </w:p>
        </w:tc>
        <w:tc>
          <w:tcPr>
            <w:tcW w:w="399" w:type="dxa"/>
            <w:tcBorders/>
            <w:vAlign w:val="center"/>
          </w:tcPr>
          <w:p>
            <w:pPr>
              <w:pStyle w:val="TableContents"/>
              <w:bidi w:val="0"/>
              <w:spacing w:before="0" w:after="283"/>
              <w:jc w:val="left"/>
              <w:rPr/>
            </w:pPr>
            <w:r>
              <w:rPr/>
              <w:t>%</w:t>
            </w:r>
          </w:p>
        </w:tc>
      </w:tr>
      <w:tr>
        <w:trPr/>
        <w:tc>
          <w:tcPr>
            <w:tcW w:w="4601" w:type="dxa"/>
            <w:tcBorders/>
            <w:vAlign w:val="center"/>
          </w:tcPr>
          <w:p>
            <w:pPr>
              <w:pStyle w:val="TableContents"/>
              <w:bidi w:val="0"/>
              <w:spacing w:before="0" w:after="283"/>
              <w:jc w:val="left"/>
              <w:rPr/>
            </w:pPr>
            <w:r>
              <w:rPr/>
              <w:t>Cost of goods sold</w:t>
            </w:r>
          </w:p>
        </w:tc>
        <w:tc>
          <w:tcPr>
            <w:tcW w:w="146" w:type="dxa"/>
            <w:tcBorders/>
            <w:vAlign w:val="center"/>
          </w:tcPr>
          <w:p>
            <w:pPr>
              <w:pStyle w:val="TableContents"/>
              <w:bidi w:val="0"/>
              <w:spacing w:before="0" w:after="283"/>
              <w:jc w:val="left"/>
              <w:rPr/>
            </w:pPr>
            <w:r>
              <w:rPr/>
              <w:t> </w:t>
            </w:r>
          </w:p>
        </w:tc>
        <w:tc>
          <w:tcPr>
            <w:tcW w:w="23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132,005</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68.3</w:t>
            </w:r>
          </w:p>
        </w:tc>
        <w:tc>
          <w:tcPr>
            <w:tcW w:w="3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129,028</w:t>
            </w:r>
          </w:p>
        </w:tc>
        <w:tc>
          <w:tcPr>
            <w:tcW w:w="2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70.0</w:t>
            </w:r>
          </w:p>
        </w:tc>
        <w:tc>
          <w:tcPr>
            <w:tcW w:w="3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601" w:type="dxa"/>
            <w:tcBorders/>
            <w:vAlign w:val="center"/>
          </w:tcPr>
          <w:p>
            <w:pPr>
              <w:pStyle w:val="TableContents"/>
              <w:bidi w:val="0"/>
              <w:spacing w:before="0" w:after="283"/>
              <w:jc w:val="left"/>
              <w:rPr/>
            </w:pPr>
            <w:r>
              <w:rPr>
                <w:rStyle w:val="StrongEmphasis"/>
              </w:rPr>
              <w:t>Gross profit</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1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61,343</w:t>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31.7</w:t>
            </w:r>
          </w:p>
        </w:tc>
        <w:tc>
          <w:tcPr>
            <w:tcW w:w="34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3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55,315</w:t>
            </w:r>
          </w:p>
        </w:tc>
        <w:tc>
          <w:tcPr>
            <w:tcW w:w="21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30.0</w:t>
            </w:r>
          </w:p>
        </w:tc>
        <w:tc>
          <w:tcPr>
            <w:tcW w:w="399" w:type="dxa"/>
            <w:tcBorders/>
            <w:vAlign w:val="center"/>
          </w:tcPr>
          <w:p>
            <w:pPr>
              <w:pStyle w:val="TableContents"/>
              <w:bidi w:val="0"/>
              <w:spacing w:before="0" w:after="283"/>
              <w:jc w:val="left"/>
              <w:rPr/>
            </w:pPr>
            <w:r>
              <w:rPr/>
              <w:t>%</w:t>
            </w:r>
          </w:p>
        </w:tc>
      </w:tr>
      <w:tr>
        <w:trPr/>
        <w:tc>
          <w:tcPr>
            <w:tcW w:w="4601" w:type="dxa"/>
            <w:tcBorders/>
            <w:vAlign w:val="center"/>
          </w:tcPr>
          <w:p>
            <w:pPr>
              <w:pStyle w:val="TableContents"/>
              <w:bidi w:val="0"/>
              <w:spacing w:before="0" w:after="283"/>
              <w:jc w:val="left"/>
              <w:rPr/>
            </w:pPr>
            <w:r>
              <w:rPr/>
              <w:t>Selling, general and administrative expenses</w:t>
            </w:r>
          </w:p>
        </w:tc>
        <w:tc>
          <w:tcPr>
            <w:tcW w:w="146" w:type="dxa"/>
            <w:tcBorders/>
            <w:vAlign w:val="center"/>
          </w:tcPr>
          <w:p>
            <w:pPr>
              <w:pStyle w:val="TableContents"/>
              <w:bidi w:val="0"/>
              <w:spacing w:before="0" w:after="283"/>
              <w:jc w:val="left"/>
              <w:rPr/>
            </w:pPr>
            <w:r>
              <w:rPr/>
              <w:t> </w:t>
            </w:r>
          </w:p>
        </w:tc>
        <w:tc>
          <w:tcPr>
            <w:tcW w:w="23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76,535</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39.6</w:t>
            </w:r>
          </w:p>
        </w:tc>
        <w:tc>
          <w:tcPr>
            <w:tcW w:w="3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75,187</w:t>
            </w:r>
          </w:p>
        </w:tc>
        <w:tc>
          <w:tcPr>
            <w:tcW w:w="2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40.8</w:t>
            </w:r>
          </w:p>
        </w:tc>
        <w:tc>
          <w:tcPr>
            <w:tcW w:w="3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601" w:type="dxa"/>
            <w:tcBorders/>
            <w:vAlign w:val="center"/>
          </w:tcPr>
          <w:p>
            <w:pPr>
              <w:pStyle w:val="TableContents"/>
              <w:bidi w:val="0"/>
              <w:spacing w:before="0" w:after="283"/>
              <w:jc w:val="left"/>
              <w:rPr/>
            </w:pPr>
            <w:r>
              <w:rPr>
                <w:rStyle w:val="StrongEmphasis"/>
              </w:rPr>
              <w:t>Operating loss</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1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(15,192</w:t>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-7.9</w:t>
            </w:r>
          </w:p>
        </w:tc>
        <w:tc>
          <w:tcPr>
            <w:tcW w:w="34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3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(19,872</w:t>
            </w:r>
          </w:p>
        </w:tc>
        <w:tc>
          <w:tcPr>
            <w:tcW w:w="21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-10.8</w:t>
            </w:r>
          </w:p>
        </w:tc>
        <w:tc>
          <w:tcPr>
            <w:tcW w:w="39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601" w:type="dxa"/>
            <w:tcBorders/>
            <w:vAlign w:val="center"/>
          </w:tcPr>
          <w:p>
            <w:pPr>
              <w:pStyle w:val="TableContents"/>
              <w:bidi w:val="0"/>
              <w:spacing w:before="0" w:after="283"/>
              <w:jc w:val="left"/>
              <w:rPr/>
            </w:pPr>
            <w:r>
              <w:rPr/>
              <w:t>Interest income, net</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849</w:t>
            </w:r>
          </w:p>
        </w:tc>
        <w:tc>
          <w:tcPr>
            <w:tcW w:w="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0.5</w:t>
            </w:r>
          </w:p>
        </w:tc>
        <w:tc>
          <w:tcPr>
            <w:tcW w:w="34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2,255</w:t>
            </w:r>
          </w:p>
        </w:tc>
        <w:tc>
          <w:tcPr>
            <w:tcW w:w="2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1.2</w:t>
            </w:r>
          </w:p>
        </w:tc>
        <w:tc>
          <w:tcPr>
            <w:tcW w:w="399" w:type="dxa"/>
            <w:tcBorders/>
            <w:vAlign w:val="center"/>
          </w:tcPr>
          <w:p>
            <w:pPr>
              <w:pStyle w:val="TableContents"/>
              <w:bidi w:val="0"/>
              <w:spacing w:before="0" w:after="283"/>
              <w:jc w:val="left"/>
              <w:rPr/>
            </w:pPr>
            <w:r>
              <w:rPr/>
              <w:t>%</w:t>
            </w:r>
          </w:p>
        </w:tc>
      </w:tr>
      <w:tr>
        <w:trPr/>
        <w:tc>
          <w:tcPr>
            <w:tcW w:w="4601" w:type="dxa"/>
            <w:tcBorders/>
            <w:vAlign w:val="center"/>
          </w:tcPr>
          <w:p>
            <w:pPr>
              <w:pStyle w:val="TableContents"/>
              <w:bidi w:val="0"/>
              <w:spacing w:before="0" w:after="283"/>
              <w:jc w:val="left"/>
              <w:rPr/>
            </w:pPr>
            <w:r>
              <w:rPr/>
              <w:t>Other (expense) income, net</w:t>
            </w:r>
          </w:p>
        </w:tc>
        <w:tc>
          <w:tcPr>
            <w:tcW w:w="146" w:type="dxa"/>
            <w:tcBorders/>
            <w:vAlign w:val="center"/>
          </w:tcPr>
          <w:p>
            <w:pPr>
              <w:pStyle w:val="TableContents"/>
              <w:bidi w:val="0"/>
              <w:spacing w:before="0" w:after="283"/>
              <w:jc w:val="left"/>
              <w:rPr/>
            </w:pPr>
            <w:r>
              <w:rPr/>
              <w:t> </w:t>
            </w:r>
          </w:p>
        </w:tc>
        <w:tc>
          <w:tcPr>
            <w:tcW w:w="23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(112</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-0.1</w:t>
            </w:r>
          </w:p>
        </w:tc>
        <w:tc>
          <w:tcPr>
            <w:tcW w:w="34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1,844</w:t>
            </w:r>
          </w:p>
        </w:tc>
        <w:tc>
          <w:tcPr>
            <w:tcW w:w="2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1.0</w:t>
            </w:r>
          </w:p>
        </w:tc>
        <w:tc>
          <w:tcPr>
            <w:tcW w:w="399" w:type="dxa"/>
            <w:tcBorders/>
            <w:vAlign w:val="center"/>
          </w:tcPr>
          <w:p>
            <w:pPr>
              <w:pStyle w:val="TableContents"/>
              <w:bidi w:val="0"/>
              <w:spacing w:before="0" w:after="283"/>
              <w:jc w:val="left"/>
              <w:rPr/>
            </w:pPr>
            <w:r>
              <w:rPr/>
              <w:t>%</w:t>
            </w:r>
          </w:p>
        </w:tc>
      </w:tr>
      <w:tr>
        <w:trPr/>
        <w:tc>
          <w:tcPr>
            <w:tcW w:w="4601" w:type="dxa"/>
            <w:tcBorders/>
            <w:vAlign w:val="center"/>
          </w:tcPr>
          <w:p>
            <w:pPr>
              <w:pStyle w:val="TableContents"/>
              <w:bidi w:val="0"/>
              <w:spacing w:before="0" w:after="283"/>
              <w:jc w:val="left"/>
              <w:rPr/>
            </w:pPr>
            <w:r>
              <w:rPr>
                <w:rStyle w:val="StrongEmphasis"/>
              </w:rPr>
              <w:t>Loss, before income taxes</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1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(14,455</w:t>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-7.5</w:t>
            </w:r>
          </w:p>
        </w:tc>
        <w:tc>
          <w:tcPr>
            <w:tcW w:w="34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3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(15,773</w:t>
            </w:r>
          </w:p>
        </w:tc>
        <w:tc>
          <w:tcPr>
            <w:tcW w:w="21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-8.6</w:t>
            </w:r>
          </w:p>
        </w:tc>
        <w:tc>
          <w:tcPr>
            <w:tcW w:w="39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601" w:type="dxa"/>
            <w:tcBorders/>
            <w:vAlign w:val="center"/>
          </w:tcPr>
          <w:p>
            <w:pPr>
              <w:pStyle w:val="TableContents"/>
              <w:bidi w:val="0"/>
              <w:spacing w:before="0" w:after="283"/>
              <w:jc w:val="left"/>
              <w:rPr/>
            </w:pPr>
            <w:r>
              <w:rPr/>
              <w:t>Benefit from income taxes</w:t>
            </w:r>
          </w:p>
        </w:tc>
        <w:tc>
          <w:tcPr>
            <w:tcW w:w="146" w:type="dxa"/>
            <w:tcBorders/>
            <w:vAlign w:val="center"/>
          </w:tcPr>
          <w:p>
            <w:pPr>
              <w:pStyle w:val="TableContents"/>
              <w:bidi w:val="0"/>
              <w:spacing w:before="0" w:after="283"/>
              <w:jc w:val="left"/>
              <w:rPr/>
            </w:pPr>
            <w:r>
              <w:rPr/>
              <w:t> </w:t>
            </w:r>
          </w:p>
        </w:tc>
        <w:tc>
          <w:tcPr>
            <w:tcW w:w="23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(1,189</w:t>
            </w:r>
          </w:p>
        </w:tc>
        <w:tc>
          <w:tcPr>
            <w:tcW w:w="18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-0.6</w:t>
            </w:r>
          </w:p>
        </w:tc>
        <w:tc>
          <w:tcPr>
            <w:tcW w:w="3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(1,443</w:t>
            </w:r>
          </w:p>
        </w:tc>
        <w:tc>
          <w:tcPr>
            <w:tcW w:w="21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-0.8</w:t>
            </w:r>
          </w:p>
        </w:tc>
        <w:tc>
          <w:tcPr>
            <w:tcW w:w="3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601" w:type="dxa"/>
            <w:tcBorders/>
            <w:vAlign w:val="center"/>
          </w:tcPr>
          <w:p>
            <w:pPr>
              <w:pStyle w:val="TableContents"/>
              <w:bidi w:val="0"/>
              <w:spacing w:before="0" w:after="283"/>
              <w:jc w:val="left"/>
              <w:rPr/>
            </w:pPr>
            <w:r>
              <w:rPr>
                <w:rStyle w:val="StrongEmphasis"/>
              </w:rPr>
              <w:t>Net loss</w:t>
            </w:r>
          </w:p>
        </w:tc>
        <w:tc>
          <w:tcPr>
            <w:tcW w:w="146" w:type="dxa"/>
            <w:tcBorders/>
            <w:vAlign w:val="center"/>
          </w:tcPr>
          <w:p>
            <w:pPr>
              <w:pStyle w:val="TableContents"/>
              <w:bidi w:val="0"/>
              <w:spacing w:before="0" w:after="283"/>
              <w:jc w:val="left"/>
              <w:rPr/>
            </w:pPr>
            <w:r>
              <w:rPr/>
              <w:t> </w:t>
            </w:r>
          </w:p>
        </w:tc>
        <w:tc>
          <w:tcPr>
            <w:tcW w:w="23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91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(13,266</w:t>
            </w:r>
          </w:p>
        </w:tc>
        <w:tc>
          <w:tcPr>
            <w:tcW w:w="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-6.9</w:t>
            </w:r>
          </w:p>
        </w:tc>
        <w:tc>
          <w:tcPr>
            <w:tcW w:w="34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(14,330</w:t>
            </w:r>
          </w:p>
        </w:tc>
        <w:tc>
          <w:tcPr>
            <w:tcW w:w="21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-7.8</w:t>
            </w:r>
          </w:p>
        </w:tc>
        <w:tc>
          <w:tcPr>
            <w:tcW w:w="39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601" w:type="dxa"/>
            <w:tcBorders/>
            <w:vAlign w:val="center"/>
          </w:tcPr>
          <w:p>
            <w:pPr>
              <w:pStyle w:val="TableContents"/>
              <w:bidi w:val="0"/>
              <w:spacing w:before="0" w:after="283"/>
              <w:jc w:val="left"/>
              <w:rPr/>
            </w:pPr>
            <w:r>
              <w:rPr/>
              <w:t>Basic loss per share</w:t>
            </w:r>
          </w:p>
        </w:tc>
        <w:tc>
          <w:tcPr>
            <w:tcW w:w="146" w:type="dxa"/>
            <w:tcBorders/>
            <w:vAlign w:val="center"/>
          </w:tcPr>
          <w:p>
            <w:pPr>
              <w:pStyle w:val="TableContents"/>
              <w:bidi w:val="0"/>
              <w:spacing w:before="0" w:after="283"/>
              <w:jc w:val="left"/>
              <w:rPr/>
            </w:pPr>
            <w:r>
              <w:rPr/>
              <w:t> </w:t>
            </w:r>
          </w:p>
        </w:tc>
        <w:tc>
          <w:tcPr>
            <w:tcW w:w="23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91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(0.82</w:t>
            </w:r>
          </w:p>
        </w:tc>
        <w:tc>
          <w:tcPr>
            <w:tcW w:w="18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3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(0.79</w:t>
            </w:r>
          </w:p>
        </w:tc>
        <w:tc>
          <w:tcPr>
            <w:tcW w:w="21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left"/>
              <w:rPr/>
            </w:pPr>
            <w:r>
              <w:rPr/>
              <w:t> </w:t>
            </w:r>
          </w:p>
        </w:tc>
      </w:tr>
      <w:tr>
        <w:trPr/>
        <w:tc>
          <w:tcPr>
            <w:tcW w:w="4601" w:type="dxa"/>
            <w:tcBorders/>
            <w:vAlign w:val="center"/>
          </w:tcPr>
          <w:p>
            <w:pPr>
              <w:pStyle w:val="TableContents"/>
              <w:bidi w:val="0"/>
              <w:spacing w:before="0" w:after="283"/>
              <w:jc w:val="left"/>
              <w:rPr/>
            </w:pPr>
            <w:r>
              <w:rPr/>
              <w:t>Diluted loss per share</w:t>
            </w:r>
          </w:p>
        </w:tc>
        <w:tc>
          <w:tcPr>
            <w:tcW w:w="146" w:type="dxa"/>
            <w:tcBorders/>
            <w:vAlign w:val="center"/>
          </w:tcPr>
          <w:p>
            <w:pPr>
              <w:pStyle w:val="TableContents"/>
              <w:bidi w:val="0"/>
              <w:spacing w:before="0" w:after="283"/>
              <w:jc w:val="left"/>
              <w:rPr/>
            </w:pPr>
            <w:r>
              <w:rPr/>
              <w:t> </w:t>
            </w:r>
          </w:p>
        </w:tc>
        <w:tc>
          <w:tcPr>
            <w:tcW w:w="23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91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(0.82</w:t>
            </w:r>
          </w:p>
        </w:tc>
        <w:tc>
          <w:tcPr>
            <w:tcW w:w="18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3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(0.79</w:t>
            </w:r>
          </w:p>
        </w:tc>
        <w:tc>
          <w:tcPr>
            <w:tcW w:w="21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left"/>
              <w:rPr/>
            </w:pPr>
            <w:r>
              <w:rPr/>
              <w:t> </w:t>
            </w:r>
          </w:p>
        </w:tc>
      </w:tr>
      <w:tr>
        <w:trPr/>
        <w:tc>
          <w:tcPr>
            <w:tcW w:w="4601" w:type="dxa"/>
            <w:tcBorders/>
            <w:vAlign w:val="center"/>
          </w:tcPr>
          <w:p>
            <w:pPr>
              <w:pStyle w:val="TableContents"/>
              <w:bidi w:val="0"/>
              <w:spacing w:before="0" w:after="283"/>
              <w:jc w:val="left"/>
              <w:rPr/>
            </w:pPr>
            <w:r>
              <w:rPr/>
              <w:t>Weighted average shares used in computation of earnings per share</w:t>
            </w:r>
          </w:p>
        </w:tc>
        <w:tc>
          <w:tcPr>
            <w:tcW w:w="146" w:type="dxa"/>
            <w:tcBorders/>
            <w:vAlign w:val="center"/>
          </w:tcPr>
          <w:p>
            <w:pPr>
              <w:pStyle w:val="TableContents"/>
              <w:bidi w:val="0"/>
              <w:spacing w:before="0" w:after="283"/>
              <w:jc w:val="left"/>
              <w:rPr/>
            </w:pPr>
            <w:r>
              <w:rPr/>
              <w:t> </w:t>
            </w:r>
          </w:p>
        </w:tc>
        <w:tc>
          <w:tcPr>
            <w:tcW w:w="132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7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left"/>
              <w:rPr/>
            </w:pPr>
            <w:r>
              <w:rPr/>
              <w:t> </w:t>
            </w:r>
          </w:p>
        </w:tc>
      </w:tr>
      <w:tr>
        <w:trPr/>
        <w:tc>
          <w:tcPr>
            <w:tcW w:w="4601"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16,205</w:t>
            </w:r>
          </w:p>
        </w:tc>
        <w:tc>
          <w:tcPr>
            <w:tcW w:w="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18,116</w:t>
            </w:r>
          </w:p>
        </w:tc>
        <w:tc>
          <w:tcPr>
            <w:tcW w:w="2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left"/>
              <w:rPr/>
            </w:pPr>
            <w:r>
              <w:rPr/>
              <w:t> </w:t>
            </w:r>
          </w:p>
        </w:tc>
      </w:tr>
      <w:tr>
        <w:trPr/>
        <w:tc>
          <w:tcPr>
            <w:tcW w:w="4601"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16,205</w:t>
            </w:r>
          </w:p>
        </w:tc>
        <w:tc>
          <w:tcPr>
            <w:tcW w:w="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18,116</w:t>
            </w:r>
          </w:p>
        </w:tc>
        <w:tc>
          <w:tcPr>
            <w:tcW w:w="2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left"/>
              <w:rPr/>
            </w:pPr>
            <w:r>
              <w:rPr/>
              <w:t> </w:t>
            </w:r>
          </w:p>
        </w:tc>
      </w:tr>
      <w:tr>
        <w:trPr/>
        <w:tc>
          <w:tcPr>
            <w:tcW w:w="4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4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left"/>
        <w:tblInd w:w="0" w:type="dxa"/>
        <w:tblLayout w:type="fixed"/>
        <w:tblCellMar>
          <w:top w:w="28" w:type="dxa"/>
          <w:left w:w="28" w:type="dxa"/>
          <w:bottom w:w="28" w:type="dxa"/>
          <w:right w:w="28" w:type="dxa"/>
        </w:tblCellMar>
      </w:tblPr>
      <w:tblGrid>
        <w:gridCol w:w="5701"/>
        <w:gridCol w:w="146"/>
        <w:gridCol w:w="228"/>
        <w:gridCol w:w="894"/>
        <w:gridCol w:w="182"/>
        <w:gridCol w:w="146"/>
        <w:gridCol w:w="246"/>
        <w:gridCol w:w="966"/>
        <w:gridCol w:w="197"/>
        <w:gridCol w:w="146"/>
        <w:gridCol w:w="227"/>
        <w:gridCol w:w="893"/>
        <w:gridCol w:w="233"/>
      </w:tblGrid>
      <w:tr>
        <w:trPr/>
        <w:tc>
          <w:tcPr>
            <w:tcW w:w="10205" w:type="dxa"/>
            <w:gridSpan w:val="13"/>
            <w:tcBorders/>
            <w:vAlign w:val="center"/>
          </w:tcPr>
          <w:p>
            <w:pPr>
              <w:pStyle w:val="TableContents"/>
              <w:bidi w:val="0"/>
              <w:spacing w:before="0" w:after="283"/>
              <w:jc w:val="center"/>
              <w:rPr/>
            </w:pPr>
            <w:r>
              <w:rPr>
                <w:rStyle w:val="StrongEmphasis"/>
              </w:rPr>
              <w:t>ZUMIEZ INC.</w:t>
            </w:r>
            <w:r>
              <w:rPr/>
              <w:br/>
            </w:r>
            <w:r>
              <w:rPr>
                <w:rStyle w:val="StrongEmphasis"/>
              </w:rPr>
              <w:t>CONDENSED CONSOLIDATED BALANCE SHEETS</w:t>
            </w:r>
            <w:r>
              <w:rPr/>
              <w:br/>
            </w:r>
            <w:r>
              <w:rPr>
                <w:rStyle w:val="StrongEmphasis"/>
              </w:rPr>
              <w:t>(In thousands)</w:t>
            </w:r>
          </w:p>
        </w:tc>
      </w:tr>
      <w:tr>
        <w:trPr/>
        <w:tc>
          <w:tcPr>
            <w:tcW w:w="10205" w:type="dxa"/>
            <w:gridSpan w:val="13"/>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4"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2, 2026</w:t>
            </w:r>
          </w:p>
        </w:tc>
        <w:tc>
          <w:tcPr>
            <w:tcW w:w="146" w:type="dxa"/>
            <w:tcBorders/>
            <w:vAlign w:val="center"/>
          </w:tcPr>
          <w:p>
            <w:pPr>
              <w:pStyle w:val="TableContents"/>
              <w:bidi w:val="0"/>
              <w:spacing w:before="0" w:after="283"/>
              <w:jc w:val="left"/>
              <w:rPr/>
            </w:pPr>
            <w:r>
              <w:rPr/>
              <w:t> </w:t>
            </w:r>
          </w:p>
        </w:tc>
        <w:tc>
          <w:tcPr>
            <w:tcW w:w="1409"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January 31, 2026</w:t>
            </w:r>
          </w:p>
        </w:tc>
        <w:tc>
          <w:tcPr>
            <w:tcW w:w="146" w:type="dxa"/>
            <w:tcBorders/>
            <w:vAlign w:val="center"/>
          </w:tcPr>
          <w:p>
            <w:pPr>
              <w:pStyle w:val="TableContents"/>
              <w:bidi w:val="0"/>
              <w:spacing w:before="0" w:after="283"/>
              <w:jc w:val="left"/>
              <w:rPr/>
            </w:pPr>
            <w:r>
              <w:rPr/>
              <w:t> </w:t>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3, 2025</w:t>
            </w:r>
          </w:p>
        </w:tc>
      </w:tr>
      <w:tr>
        <w:trPr/>
        <w:tc>
          <w:tcPr>
            <w:tcW w:w="57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4" w:type="dxa"/>
            <w:gridSpan w:val="3"/>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left"/>
              <w:rPr/>
            </w:pPr>
            <w:r>
              <w:rPr/>
              <w:t> </w:t>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center"/>
              <w:rPr/>
            </w:pPr>
            <w:r>
              <w:rPr>
                <w:rStyle w:val="StrongEmphasis"/>
              </w:rPr>
              <w:t>(Unaudited)</w:t>
            </w:r>
          </w:p>
        </w:tc>
      </w:tr>
      <w:tr>
        <w:trPr/>
        <w:tc>
          <w:tcPr>
            <w:tcW w:w="5701" w:type="dxa"/>
            <w:tcBorders/>
            <w:vAlign w:val="center"/>
          </w:tcPr>
          <w:p>
            <w:pPr>
              <w:pStyle w:val="TableContents"/>
              <w:bidi w:val="0"/>
              <w:spacing w:before="0" w:after="283"/>
              <w:jc w:val="center"/>
              <w:rPr/>
            </w:pPr>
            <w:r>
              <w:rPr>
                <w:rStyle w:val="StrongEmphasis"/>
              </w:rPr>
              <w:t>Assets</w:t>
            </w:r>
          </w:p>
        </w:tc>
        <w:tc>
          <w:tcPr>
            <w:tcW w:w="146" w:type="dxa"/>
            <w:tcBorders/>
            <w:vAlign w:val="center"/>
          </w:tcPr>
          <w:p>
            <w:pPr>
              <w:pStyle w:val="TableContents"/>
              <w:bidi w:val="0"/>
              <w:spacing w:before="0" w:after="283"/>
              <w:jc w:val="left"/>
              <w:rPr/>
            </w:pPr>
            <w:r>
              <w:rPr/>
              <w:t> </w:t>
            </w:r>
          </w:p>
        </w:tc>
        <w:tc>
          <w:tcPr>
            <w:tcW w:w="1304"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9"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right"/>
              <w:rPr/>
            </w:pPr>
            <w:r>
              <w:rPr/>
              <w:t> </w:t>
            </w:r>
          </w:p>
        </w:tc>
      </w:tr>
      <w:tr>
        <w:trPr/>
        <w:tc>
          <w:tcPr>
            <w:tcW w:w="5701" w:type="dxa"/>
            <w:tcBorders/>
            <w:vAlign w:val="center"/>
          </w:tcPr>
          <w:p>
            <w:pPr>
              <w:pStyle w:val="TableContents"/>
              <w:bidi w:val="0"/>
              <w:spacing w:before="0" w:after="283"/>
              <w:jc w:val="left"/>
              <w:rPr/>
            </w:pPr>
            <w:r>
              <w:rPr>
                <w:rStyle w:val="StrongEmphasis"/>
              </w:rPr>
              <w:t>Current assets</w:t>
            </w:r>
          </w:p>
        </w:tc>
        <w:tc>
          <w:tcPr>
            <w:tcW w:w="146" w:type="dxa"/>
            <w:tcBorders/>
            <w:vAlign w:val="center"/>
          </w:tcPr>
          <w:p>
            <w:pPr>
              <w:pStyle w:val="TableContents"/>
              <w:bidi w:val="0"/>
              <w:spacing w:before="0" w:after="283"/>
              <w:jc w:val="left"/>
              <w:rPr/>
            </w:pPr>
            <w:r>
              <w:rPr/>
              <w:t> </w:t>
            </w:r>
          </w:p>
        </w:tc>
        <w:tc>
          <w:tcPr>
            <w:tcW w:w="1304"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9"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right"/>
              <w:rPr/>
            </w:pPr>
            <w:r>
              <w:rPr/>
              <w:t> </w:t>
            </w:r>
          </w:p>
        </w:tc>
      </w:tr>
      <w:tr>
        <w:trPr/>
        <w:tc>
          <w:tcPr>
            <w:tcW w:w="5701" w:type="dxa"/>
            <w:tcBorders/>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w:t>
            </w:r>
          </w:p>
        </w:tc>
        <w:tc>
          <w:tcPr>
            <w:tcW w:w="894" w:type="dxa"/>
            <w:tcBorders/>
            <w:vAlign w:val="center"/>
          </w:tcPr>
          <w:p>
            <w:pPr>
              <w:pStyle w:val="TableContents"/>
              <w:bidi w:val="0"/>
              <w:spacing w:before="0" w:after="283"/>
              <w:jc w:val="right"/>
              <w:rPr/>
            </w:pPr>
            <w:r>
              <w:rPr/>
              <w:t>66,918</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w:t>
            </w:r>
          </w:p>
        </w:tc>
        <w:tc>
          <w:tcPr>
            <w:tcW w:w="966" w:type="dxa"/>
            <w:tcBorders/>
            <w:vAlign w:val="center"/>
          </w:tcPr>
          <w:p>
            <w:pPr>
              <w:pStyle w:val="TableContents"/>
              <w:bidi w:val="0"/>
              <w:spacing w:before="0" w:after="283"/>
              <w:jc w:val="right"/>
              <w:rPr/>
            </w:pPr>
            <w:r>
              <w:rPr/>
              <w:t>127,860</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w:t>
            </w:r>
          </w:p>
        </w:tc>
        <w:tc>
          <w:tcPr>
            <w:tcW w:w="893" w:type="dxa"/>
            <w:tcBorders/>
            <w:vAlign w:val="center"/>
          </w:tcPr>
          <w:p>
            <w:pPr>
              <w:pStyle w:val="TableContents"/>
              <w:bidi w:val="0"/>
              <w:spacing w:before="0" w:after="283"/>
              <w:jc w:val="right"/>
              <w:rPr/>
            </w:pPr>
            <w:r>
              <w:rPr/>
              <w:t>62,519</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Marketable securities</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57,242</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32,764</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38,443</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Receivables</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14,147</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13,957</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14,839</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Inventories</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153,189</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146,995</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149,864</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Prepaid expenses and other current assets</w:t>
            </w:r>
          </w:p>
        </w:tc>
        <w:tc>
          <w:tcPr>
            <w:tcW w:w="146"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15,085</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14,407</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15,525</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current assets</w:t>
            </w:r>
          </w:p>
        </w:tc>
        <w:tc>
          <w:tcPr>
            <w:tcW w:w="146" w:type="dxa"/>
            <w:tcBorders/>
            <w:vAlign w:val="center"/>
          </w:tcPr>
          <w:p>
            <w:pPr>
              <w:pStyle w:val="TableContents"/>
              <w:bidi w:val="0"/>
              <w:spacing w:before="0" w:after="283"/>
              <w:jc w:val="lef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306,581</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335,983</w:t>
            </w:r>
          </w:p>
        </w:tc>
        <w:tc>
          <w:tcPr>
            <w:tcW w:w="1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281,190</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Fixed assets, net</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70,473</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72,813</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79,703</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Operating lease right-of-use assets</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190,805</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185,604</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185,901</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Goodwill</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15,589</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15,519</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15,329</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Intangible assets, net</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15,411</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15,513</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14,665</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Deferred tax assets, net</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7,621</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6,349</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10,215</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Other long-term assets</w:t>
            </w:r>
          </w:p>
        </w:tc>
        <w:tc>
          <w:tcPr>
            <w:tcW w:w="146"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12,259</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12,390</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12,097</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long-term assets</w:t>
            </w:r>
          </w:p>
        </w:tc>
        <w:tc>
          <w:tcPr>
            <w:tcW w:w="146" w:type="dxa"/>
            <w:tcBorders/>
            <w:vAlign w:val="center"/>
          </w:tcPr>
          <w:p>
            <w:pPr>
              <w:pStyle w:val="TableContents"/>
              <w:bidi w:val="0"/>
              <w:spacing w:before="0" w:after="283"/>
              <w:jc w:val="lef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312,158</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308,188</w:t>
            </w:r>
          </w:p>
        </w:tc>
        <w:tc>
          <w:tcPr>
            <w:tcW w:w="1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317,910</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7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9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618,739</w:t>
            </w:r>
          </w:p>
        </w:tc>
        <w:tc>
          <w:tcPr>
            <w:tcW w:w="18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w:t>
            </w:r>
          </w:p>
        </w:tc>
        <w:tc>
          <w:tcPr>
            <w:tcW w:w="966" w:type="dxa"/>
            <w:tcBorders/>
            <w:vAlign w:val="center"/>
          </w:tcPr>
          <w:p>
            <w:pPr>
              <w:pStyle w:val="TableContents"/>
              <w:bidi w:val="0"/>
              <w:spacing w:before="0" w:after="283"/>
              <w:jc w:val="right"/>
              <w:rPr/>
            </w:pPr>
            <w:r>
              <w:rPr/>
              <w:t>644,171</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8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599,100</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4"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9" w:type="dxa"/>
            <w:gridSpan w:val="3"/>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right"/>
              <w:rPr/>
            </w:pPr>
            <w:r>
              <w:rPr/>
              <w:t> </w:t>
            </w:r>
          </w:p>
        </w:tc>
      </w:tr>
      <w:tr>
        <w:trPr/>
        <w:tc>
          <w:tcPr>
            <w:tcW w:w="5701" w:type="dxa"/>
            <w:tcBorders/>
            <w:vAlign w:val="center"/>
          </w:tcPr>
          <w:p>
            <w:pPr>
              <w:pStyle w:val="TableContents"/>
              <w:bidi w:val="0"/>
              <w:spacing w:before="0" w:after="283"/>
              <w:jc w:val="center"/>
              <w:rPr/>
            </w:pPr>
            <w:r>
              <w:rPr>
                <w:rStyle w:val="StrongEmphasis"/>
              </w:rPr>
              <w:t>Liabilities and Shareholders’ Equity</w:t>
            </w:r>
          </w:p>
        </w:tc>
        <w:tc>
          <w:tcPr>
            <w:tcW w:w="146" w:type="dxa"/>
            <w:tcBorders/>
            <w:vAlign w:val="center"/>
          </w:tcPr>
          <w:p>
            <w:pPr>
              <w:pStyle w:val="TableContents"/>
              <w:bidi w:val="0"/>
              <w:spacing w:before="0" w:after="283"/>
              <w:jc w:val="left"/>
              <w:rPr/>
            </w:pPr>
            <w:r>
              <w:rPr/>
              <w:t> </w:t>
            </w:r>
          </w:p>
        </w:tc>
        <w:tc>
          <w:tcPr>
            <w:tcW w:w="1304"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9"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right"/>
              <w:rPr/>
            </w:pPr>
            <w:r>
              <w:rPr/>
              <w:t> </w:t>
            </w:r>
          </w:p>
        </w:tc>
      </w:tr>
      <w:tr>
        <w:trPr/>
        <w:tc>
          <w:tcPr>
            <w:tcW w:w="5701" w:type="dxa"/>
            <w:tcBorders/>
            <w:vAlign w:val="center"/>
          </w:tcPr>
          <w:p>
            <w:pPr>
              <w:pStyle w:val="TableContents"/>
              <w:bidi w:val="0"/>
              <w:spacing w:before="0" w:after="283"/>
              <w:jc w:val="left"/>
              <w:rPr/>
            </w:pPr>
            <w:r>
              <w:rPr>
                <w:rStyle w:val="StrongEmphasis"/>
              </w:rPr>
              <w:t>Current liabilities</w:t>
            </w:r>
          </w:p>
        </w:tc>
        <w:tc>
          <w:tcPr>
            <w:tcW w:w="146" w:type="dxa"/>
            <w:tcBorders/>
            <w:vAlign w:val="center"/>
          </w:tcPr>
          <w:p>
            <w:pPr>
              <w:pStyle w:val="TableContents"/>
              <w:bidi w:val="0"/>
              <w:spacing w:before="0" w:after="283"/>
              <w:jc w:val="left"/>
              <w:rPr/>
            </w:pPr>
            <w:r>
              <w:rPr/>
              <w:t> </w:t>
            </w:r>
          </w:p>
        </w:tc>
        <w:tc>
          <w:tcPr>
            <w:tcW w:w="1304"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9"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right"/>
              <w:rPr/>
            </w:pPr>
            <w:r>
              <w:rPr/>
              <w:t> </w:t>
            </w:r>
          </w:p>
        </w:tc>
      </w:tr>
      <w:tr>
        <w:trPr/>
        <w:tc>
          <w:tcPr>
            <w:tcW w:w="5701" w:type="dxa"/>
            <w:tcBorders/>
            <w:vAlign w:val="center"/>
          </w:tcPr>
          <w:p>
            <w:pPr>
              <w:pStyle w:val="TableContents"/>
              <w:bidi w:val="0"/>
              <w:spacing w:before="0" w:after="283"/>
              <w:jc w:val="left"/>
              <w:rPr/>
            </w:pPr>
            <w:r>
              <w:rPr/>
              <w:t>Trade accounts payable</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w:t>
            </w:r>
          </w:p>
        </w:tc>
        <w:tc>
          <w:tcPr>
            <w:tcW w:w="894" w:type="dxa"/>
            <w:tcBorders/>
            <w:vAlign w:val="center"/>
          </w:tcPr>
          <w:p>
            <w:pPr>
              <w:pStyle w:val="TableContents"/>
              <w:bidi w:val="0"/>
              <w:spacing w:before="0" w:after="283"/>
              <w:jc w:val="right"/>
              <w:rPr/>
            </w:pPr>
            <w:r>
              <w:rPr/>
              <w:t>56,208</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w:t>
            </w:r>
          </w:p>
        </w:tc>
        <w:tc>
          <w:tcPr>
            <w:tcW w:w="966" w:type="dxa"/>
            <w:tcBorders/>
            <w:vAlign w:val="center"/>
          </w:tcPr>
          <w:p>
            <w:pPr>
              <w:pStyle w:val="TableContents"/>
              <w:bidi w:val="0"/>
              <w:spacing w:before="0" w:after="283"/>
              <w:jc w:val="right"/>
              <w:rPr/>
            </w:pPr>
            <w:r>
              <w:rPr/>
              <w:t>49,150</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w:t>
            </w:r>
          </w:p>
        </w:tc>
        <w:tc>
          <w:tcPr>
            <w:tcW w:w="893" w:type="dxa"/>
            <w:tcBorders/>
            <w:vAlign w:val="center"/>
          </w:tcPr>
          <w:p>
            <w:pPr>
              <w:pStyle w:val="TableContents"/>
              <w:bidi w:val="0"/>
              <w:spacing w:before="0" w:after="283"/>
              <w:jc w:val="right"/>
              <w:rPr/>
            </w:pPr>
            <w:r>
              <w:rPr/>
              <w:t>48,981</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Accrued payroll and payroll taxes</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17,659</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28,221</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16,563</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Operating lease liabilities</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55,824</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54,023</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54,388</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Other current liabilities</w:t>
            </w:r>
          </w:p>
        </w:tc>
        <w:tc>
          <w:tcPr>
            <w:tcW w:w="146"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27,767</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36,136</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26,943</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current liabilities</w:t>
            </w:r>
          </w:p>
        </w:tc>
        <w:tc>
          <w:tcPr>
            <w:tcW w:w="146" w:type="dxa"/>
            <w:tcBorders/>
            <w:vAlign w:val="center"/>
          </w:tcPr>
          <w:p>
            <w:pPr>
              <w:pStyle w:val="TableContents"/>
              <w:bidi w:val="0"/>
              <w:spacing w:before="0" w:after="283"/>
              <w:jc w:val="lef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157,458</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167,530</w:t>
            </w:r>
          </w:p>
        </w:tc>
        <w:tc>
          <w:tcPr>
            <w:tcW w:w="1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146,875</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Long-term operating lease liabilities</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148,009</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145,306</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147,398</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Other long-term liabilities</w:t>
            </w:r>
          </w:p>
        </w:tc>
        <w:tc>
          <w:tcPr>
            <w:tcW w:w="146"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7,407</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7,050</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6,349</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long-term liabilities</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155,416</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152,356</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153,747</w:t>
            </w:r>
          </w:p>
        </w:tc>
        <w:tc>
          <w:tcPr>
            <w:tcW w:w="233" w:type="dxa"/>
            <w:tcBorders/>
            <w:vAlign w:val="center"/>
          </w:tcPr>
          <w:p>
            <w:pPr>
              <w:pStyle w:val="TableContents"/>
              <w:bidi w:val="0"/>
              <w:spacing w:before="0" w:after="283"/>
              <w:jc w:val="left"/>
              <w:rPr/>
            </w:pPr>
            <w:r>
              <w:rPr/>
              <w:t> </w:t>
            </w:r>
          </w:p>
        </w:tc>
      </w:tr>
      <w:tr>
        <w:trPr/>
        <w:tc>
          <w:tcPr>
            <w:tcW w:w="57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lef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312,874</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319,886</w:t>
            </w:r>
          </w:p>
        </w:tc>
        <w:tc>
          <w:tcPr>
            <w:tcW w:w="1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300,622</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rStyle w:val="StrongEmphasis"/>
              </w:rPr>
              <w:t>Shareholders’ equity</w:t>
            </w:r>
          </w:p>
        </w:tc>
        <w:tc>
          <w:tcPr>
            <w:tcW w:w="146" w:type="dxa"/>
            <w:tcBorders/>
            <w:vAlign w:val="center"/>
          </w:tcPr>
          <w:p>
            <w:pPr>
              <w:pStyle w:val="TableContents"/>
              <w:bidi w:val="0"/>
              <w:spacing w:before="0" w:after="283"/>
              <w:jc w:val="left"/>
              <w:rPr/>
            </w:pPr>
            <w:r>
              <w:rPr/>
              <w:t> </w:t>
            </w:r>
          </w:p>
        </w:tc>
        <w:tc>
          <w:tcPr>
            <w:tcW w:w="1304"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9"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right"/>
              <w:rPr/>
            </w:pPr>
            <w:r>
              <w:rPr/>
              <w:t> </w:t>
            </w:r>
          </w:p>
        </w:tc>
      </w:tr>
      <w:tr>
        <w:trPr/>
        <w:tc>
          <w:tcPr>
            <w:tcW w:w="5701" w:type="dxa"/>
            <w:tcBorders/>
            <w:vAlign w:val="center"/>
          </w:tcPr>
          <w:p>
            <w:pPr>
              <w:pStyle w:val="TableContents"/>
              <w:bidi w:val="0"/>
              <w:spacing w:before="0" w:after="283"/>
              <w:jc w:val="left"/>
              <w:rPr/>
            </w:pPr>
            <w:r>
              <w:rPr/>
              <w:t>Preferred stock, no par value, 20,000 shares authorized; none issued and outstanding</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Common stock, no par value, 50,000 shares authorized; 17,032 shares issued and outstanding at May 2, 2026, 16,971 shares issued and outstanding at January 31, 2026, and 17,770 shares issued and outstanding at May 3, 2025</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213,822</w:t>
            </w:r>
          </w:p>
        </w:tc>
        <w:tc>
          <w:tcPr>
            <w:tcW w:w="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211,764</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205,595</w:t>
            </w:r>
          </w:p>
        </w:tc>
        <w:tc>
          <w:tcPr>
            <w:tcW w:w="233" w:type="dxa"/>
            <w:tcBorders/>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Accumulated other comprehensive loss</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894" w:type="dxa"/>
            <w:tcBorders/>
            <w:vAlign w:val="center"/>
          </w:tcPr>
          <w:p>
            <w:pPr>
              <w:pStyle w:val="TableContents"/>
              <w:bidi w:val="0"/>
              <w:spacing w:before="0" w:after="283"/>
              <w:jc w:val="right"/>
              <w:rPr/>
            </w:pPr>
            <w:r>
              <w:rPr/>
              <w:t>(12,419</w:t>
            </w:r>
          </w:p>
        </w:tc>
        <w:tc>
          <w:tcPr>
            <w:tcW w:w="182"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c>
          <w:tcPr>
            <w:tcW w:w="966" w:type="dxa"/>
            <w:tcBorders/>
            <w:vAlign w:val="center"/>
          </w:tcPr>
          <w:p>
            <w:pPr>
              <w:pStyle w:val="TableContents"/>
              <w:bidi w:val="0"/>
              <w:spacing w:before="0" w:after="283"/>
              <w:jc w:val="right"/>
              <w:rPr/>
            </w:pPr>
            <w:r>
              <w:rPr/>
              <w:t>(11,438</w:t>
            </w:r>
          </w:p>
        </w:tc>
        <w:tc>
          <w:tcPr>
            <w:tcW w:w="19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right"/>
              <w:rPr/>
            </w:pPr>
            <w:r>
              <w:rPr/>
              <w:t> </w:t>
            </w:r>
          </w:p>
        </w:tc>
        <w:tc>
          <w:tcPr>
            <w:tcW w:w="893" w:type="dxa"/>
            <w:tcBorders/>
            <w:vAlign w:val="center"/>
          </w:tcPr>
          <w:p>
            <w:pPr>
              <w:pStyle w:val="TableContents"/>
              <w:bidi w:val="0"/>
              <w:spacing w:before="0" w:after="283"/>
              <w:jc w:val="right"/>
              <w:rPr/>
            </w:pPr>
            <w:r>
              <w:rPr/>
              <w:t>(16,746</w:t>
            </w:r>
          </w:p>
        </w:tc>
        <w:tc>
          <w:tcPr>
            <w:tcW w:w="233" w:type="dxa"/>
            <w:tcBorders/>
            <w:vAlign w:val="center"/>
          </w:tcPr>
          <w:p>
            <w:pPr>
              <w:pStyle w:val="TableContents"/>
              <w:bidi w:val="0"/>
              <w:spacing w:before="0" w:after="283"/>
              <w:jc w:val="left"/>
              <w:rPr/>
            </w:pPr>
            <w:r>
              <w:rPr/>
              <w:t>)</w:t>
            </w:r>
          </w:p>
        </w:tc>
      </w:tr>
      <w:tr>
        <w:trPr/>
        <w:tc>
          <w:tcPr>
            <w:tcW w:w="5701" w:type="dxa"/>
            <w:tcBorders/>
            <w:vAlign w:val="center"/>
          </w:tcPr>
          <w:p>
            <w:pPr>
              <w:pStyle w:val="TableContents"/>
              <w:bidi w:val="0"/>
              <w:spacing w:before="0" w:after="283"/>
              <w:jc w:val="left"/>
              <w:rPr/>
            </w:pPr>
            <w:r>
              <w:rPr/>
              <w:t>Retained earnings</w:t>
            </w:r>
          </w:p>
        </w:tc>
        <w:tc>
          <w:tcPr>
            <w:tcW w:w="146"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104,462</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123,959</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109,629</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shareholders’ equity</w:t>
            </w:r>
          </w:p>
        </w:tc>
        <w:tc>
          <w:tcPr>
            <w:tcW w:w="146" w:type="dxa"/>
            <w:tcBorders/>
            <w:vAlign w:val="center"/>
          </w:tcPr>
          <w:p>
            <w:pPr>
              <w:pStyle w:val="TableContents"/>
              <w:bidi w:val="0"/>
              <w:spacing w:before="0" w:after="283"/>
              <w:jc w:val="lef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305,865</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324,285</w:t>
            </w:r>
          </w:p>
        </w:tc>
        <w:tc>
          <w:tcPr>
            <w:tcW w:w="1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298,478</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7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shareholders’ equity</w:t>
            </w:r>
          </w:p>
        </w:tc>
        <w:tc>
          <w:tcPr>
            <w:tcW w:w="146" w:type="dxa"/>
            <w:tcBorders/>
            <w:vAlign w:val="center"/>
          </w:tcPr>
          <w:p>
            <w:pPr>
              <w:pStyle w:val="TableContents"/>
              <w:bidi w:val="0"/>
              <w:spacing w:before="0" w:after="283"/>
              <w:jc w:val="left"/>
              <w:rPr/>
            </w:pPr>
            <w:r>
              <w:rPr/>
              <w:t> </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9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618,739</w:t>
            </w:r>
          </w:p>
        </w:tc>
        <w:tc>
          <w:tcPr>
            <w:tcW w:w="1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644,171</w:t>
            </w:r>
          </w:p>
        </w:tc>
        <w:tc>
          <w:tcPr>
            <w:tcW w:w="19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599,100</w:t>
            </w:r>
          </w:p>
        </w:tc>
        <w:tc>
          <w:tcPr>
            <w:tcW w:w="2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7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107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left"/>
              <w:rPr/>
            </w:pPr>
            <w:r>
              <w:rPr/>
              <w:t> </w:t>
            </w:r>
          </w:p>
        </w:tc>
        <w:tc>
          <w:tcPr>
            <w:tcW w:w="116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3" w:type="dxa"/>
            <w:gridSpan w:val="3"/>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left"/>
        <w:tblInd w:w="0" w:type="dxa"/>
        <w:tblLayout w:type="fixed"/>
        <w:tblCellMar>
          <w:top w:w="28" w:type="dxa"/>
          <w:left w:w="28" w:type="dxa"/>
          <w:bottom w:w="28" w:type="dxa"/>
          <w:right w:w="28" w:type="dxa"/>
        </w:tblCellMar>
      </w:tblPr>
      <w:tblGrid>
        <w:gridCol w:w="7182"/>
        <w:gridCol w:w="146"/>
        <w:gridCol w:w="234"/>
        <w:gridCol w:w="920"/>
        <w:gridCol w:w="188"/>
        <w:gridCol w:w="146"/>
        <w:gridCol w:w="233"/>
        <w:gridCol w:w="919"/>
        <w:gridCol w:w="237"/>
      </w:tblGrid>
      <w:tr>
        <w:trPr/>
        <w:tc>
          <w:tcPr>
            <w:tcW w:w="10205" w:type="dxa"/>
            <w:gridSpan w:val="9"/>
            <w:tcBorders/>
            <w:vAlign w:val="center"/>
          </w:tcPr>
          <w:p>
            <w:pPr>
              <w:pStyle w:val="TableContents"/>
              <w:bidi w:val="0"/>
              <w:spacing w:before="0" w:after="283"/>
              <w:jc w:val="center"/>
              <w:rPr/>
            </w:pPr>
            <w:r>
              <w:rPr>
                <w:rStyle w:val="StrongEmphasis"/>
              </w:rPr>
              <w:t>ZUMIEZ INC.</w:t>
              <w:br/>
              <w:t>CONDENSED CONSOLIDATED STATEMENTS OF CASH FLOWS</w:t>
              <w:br/>
              <w:t>(In thousands)</w:t>
              <w:br/>
              <w:t>(Unaudited)</w:t>
            </w:r>
          </w:p>
        </w:tc>
      </w:tr>
      <w:tr>
        <w:trPr/>
        <w:tc>
          <w:tcPr>
            <w:tcW w:w="10205" w:type="dxa"/>
            <w:gridSpan w:val="9"/>
            <w:tcBorders/>
            <w:vAlign w:val="center"/>
          </w:tcPr>
          <w:p>
            <w:pPr>
              <w:pStyle w:val="TableContents"/>
              <w:bidi w:val="0"/>
              <w:spacing w:before="0" w:after="283"/>
              <w:jc w:val="left"/>
              <w:rPr/>
            </w:pPr>
            <w:r>
              <w:rPr/>
              <w:t> </w:t>
            </w:r>
          </w:p>
        </w:tc>
      </w:tr>
      <w:tr>
        <w:trPr/>
        <w:tc>
          <w:tcPr>
            <w:tcW w:w="7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p>
        </w:tc>
      </w:tr>
      <w:tr>
        <w:trPr/>
        <w:tc>
          <w:tcPr>
            <w:tcW w:w="7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2, 2026</w:t>
            </w:r>
          </w:p>
        </w:tc>
        <w:tc>
          <w:tcPr>
            <w:tcW w:w="146" w:type="dxa"/>
            <w:tcBorders/>
            <w:vAlign w:val="center"/>
          </w:tcPr>
          <w:p>
            <w:pPr>
              <w:pStyle w:val="TableContents"/>
              <w:bidi w:val="0"/>
              <w:spacing w:before="0" w:after="283"/>
              <w:jc w:val="left"/>
              <w:rPr/>
            </w:pPr>
            <w:r>
              <w:rPr/>
              <w:t> </w:t>
            </w:r>
          </w:p>
        </w:tc>
        <w:tc>
          <w:tcPr>
            <w:tcW w:w="1389"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3, 2025</w:t>
            </w:r>
          </w:p>
        </w:tc>
      </w:tr>
      <w:tr>
        <w:trPr/>
        <w:tc>
          <w:tcPr>
            <w:tcW w:w="7182" w:type="dxa"/>
            <w:tcBorders/>
            <w:vAlign w:val="center"/>
          </w:tcPr>
          <w:p>
            <w:pPr>
              <w:pStyle w:val="TableContents"/>
              <w:bidi w:val="0"/>
              <w:spacing w:before="0" w:after="283"/>
              <w:jc w:val="left"/>
              <w:rPr/>
            </w:pPr>
            <w:r>
              <w:rPr>
                <w:rStyle w:val="StrongEmphasis"/>
              </w:rPr>
              <w:t>Cash flows from operating activities:</w:t>
            </w:r>
          </w:p>
        </w:tc>
        <w:tc>
          <w:tcPr>
            <w:tcW w:w="146" w:type="dxa"/>
            <w:tcBorders/>
            <w:vAlign w:val="center"/>
          </w:tcPr>
          <w:p>
            <w:pPr>
              <w:pStyle w:val="TableContents"/>
              <w:bidi w:val="0"/>
              <w:spacing w:before="0" w:after="283"/>
              <w:jc w:val="left"/>
              <w:rPr/>
            </w:pPr>
            <w:r>
              <w:rPr/>
              <w:t> </w:t>
            </w:r>
          </w:p>
        </w:tc>
        <w:tc>
          <w:tcPr>
            <w:tcW w:w="134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89" w:type="dxa"/>
            <w:gridSpan w:val="3"/>
            <w:tcBorders/>
            <w:vAlign w:val="center"/>
          </w:tcPr>
          <w:p>
            <w:pPr>
              <w:pStyle w:val="TableContents"/>
              <w:bidi w:val="0"/>
              <w:spacing w:before="0" w:after="283"/>
              <w:jc w:val="right"/>
              <w:rPr/>
            </w:pPr>
            <w:r>
              <w:rPr/>
              <w:t> </w:t>
            </w:r>
          </w:p>
        </w:tc>
      </w:tr>
      <w:tr>
        <w:trPr/>
        <w:tc>
          <w:tcPr>
            <w:tcW w:w="7182" w:type="dxa"/>
            <w:tcBorders/>
            <w:vAlign w:val="center"/>
          </w:tcPr>
          <w:p>
            <w:pPr>
              <w:pStyle w:val="TableContents"/>
              <w:bidi w:val="0"/>
              <w:spacing w:before="0" w:after="283"/>
              <w:jc w:val="left"/>
              <w:rPr/>
            </w:pPr>
            <w:r>
              <w:rPr/>
              <w:t>Net loss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w:t>
            </w:r>
          </w:p>
        </w:tc>
        <w:tc>
          <w:tcPr>
            <w:tcW w:w="920" w:type="dxa"/>
            <w:tcBorders/>
            <w:vAlign w:val="center"/>
          </w:tcPr>
          <w:p>
            <w:pPr>
              <w:pStyle w:val="TableContents"/>
              <w:bidi w:val="0"/>
              <w:spacing w:before="0" w:after="283"/>
              <w:jc w:val="right"/>
              <w:rPr/>
            </w:pPr>
            <w:r>
              <w:rPr/>
              <w:t>(13,266</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w:t>
            </w:r>
          </w:p>
        </w:tc>
        <w:tc>
          <w:tcPr>
            <w:tcW w:w="919" w:type="dxa"/>
            <w:tcBorders/>
            <w:vAlign w:val="center"/>
          </w:tcPr>
          <w:p>
            <w:pPr>
              <w:pStyle w:val="TableContents"/>
              <w:bidi w:val="0"/>
              <w:spacing w:before="0" w:after="283"/>
              <w:jc w:val="right"/>
              <w:rPr/>
            </w:pPr>
            <w:r>
              <w:rPr/>
              <w:t>(14,330</w:t>
            </w:r>
          </w:p>
        </w:tc>
        <w:tc>
          <w:tcPr>
            <w:tcW w:w="237" w:type="dxa"/>
            <w:tcBorders/>
            <w:vAlign w:val="center"/>
          </w:tcPr>
          <w:p>
            <w:pPr>
              <w:pStyle w:val="TableContents"/>
              <w:bidi w:val="0"/>
              <w:spacing w:before="0" w:after="283"/>
              <w:jc w:val="left"/>
              <w:rPr/>
            </w:pPr>
            <w:r>
              <w:rPr/>
              <w:t>)</w:t>
            </w:r>
          </w:p>
        </w:tc>
      </w:tr>
      <w:tr>
        <w:trPr/>
        <w:tc>
          <w:tcPr>
            <w:tcW w:w="7182" w:type="dxa"/>
            <w:tcBorders/>
            <w:vAlign w:val="center"/>
          </w:tcPr>
          <w:p>
            <w:pPr>
              <w:pStyle w:val="TableContents"/>
              <w:bidi w:val="0"/>
              <w:spacing w:before="0" w:after="283"/>
              <w:jc w:val="left"/>
              <w:rPr/>
            </w:pPr>
            <w:r>
              <w:rPr/>
              <w:t>Adjustments to reconcile net loss to net cash used in operating activities:</w:t>
            </w:r>
          </w:p>
        </w:tc>
        <w:tc>
          <w:tcPr>
            <w:tcW w:w="146" w:type="dxa"/>
            <w:tcBorders/>
            <w:vAlign w:val="center"/>
          </w:tcPr>
          <w:p>
            <w:pPr>
              <w:pStyle w:val="TableContents"/>
              <w:bidi w:val="0"/>
              <w:spacing w:before="0" w:after="283"/>
              <w:jc w:val="left"/>
              <w:rPr/>
            </w:pPr>
            <w:r>
              <w:rPr/>
              <w:t> </w:t>
            </w:r>
          </w:p>
        </w:tc>
        <w:tc>
          <w:tcPr>
            <w:tcW w:w="134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89" w:type="dxa"/>
            <w:gridSpan w:val="3"/>
            <w:tcBorders/>
            <w:vAlign w:val="center"/>
          </w:tcPr>
          <w:p>
            <w:pPr>
              <w:pStyle w:val="TableContents"/>
              <w:bidi w:val="0"/>
              <w:spacing w:before="0" w:after="283"/>
              <w:jc w:val="right"/>
              <w:rPr/>
            </w:pPr>
            <w:r>
              <w:rPr/>
              <w:t> </w:t>
            </w:r>
          </w:p>
        </w:tc>
      </w:tr>
      <w:tr>
        <w:trPr/>
        <w:tc>
          <w:tcPr>
            <w:tcW w:w="7182" w:type="dxa"/>
            <w:tcBorders/>
            <w:vAlign w:val="center"/>
          </w:tcPr>
          <w:p>
            <w:pPr>
              <w:pStyle w:val="TableContents"/>
              <w:bidi w:val="0"/>
              <w:spacing w:before="0" w:after="283"/>
              <w:jc w:val="left"/>
              <w:rPr/>
            </w:pPr>
            <w:r>
              <w:rPr/>
              <w:t>Depreciation, amortization and accretion</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4,898</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5,387</w:t>
            </w:r>
          </w:p>
        </w:tc>
        <w:tc>
          <w:tcPr>
            <w:tcW w:w="237" w:type="dxa"/>
            <w:tcBorders/>
            <w:vAlign w:val="center"/>
          </w:tcPr>
          <w:p>
            <w:pPr>
              <w:pStyle w:val="TableContents"/>
              <w:bidi w:val="0"/>
              <w:spacing w:before="0" w:after="283"/>
              <w:jc w:val="left"/>
              <w:rPr/>
            </w:pPr>
            <w:r>
              <w:rPr/>
              <w:t> </w:t>
            </w:r>
          </w:p>
        </w:tc>
      </w:tr>
      <w:tr>
        <w:trPr/>
        <w:tc>
          <w:tcPr>
            <w:tcW w:w="7182" w:type="dxa"/>
            <w:tcBorders/>
            <w:vAlign w:val="center"/>
          </w:tcPr>
          <w:p>
            <w:pPr>
              <w:pStyle w:val="TableContents"/>
              <w:bidi w:val="0"/>
              <w:spacing w:before="0" w:after="283"/>
              <w:jc w:val="left"/>
              <w:rPr/>
            </w:pPr>
            <w:r>
              <w:rPr/>
              <w:t>Noncash lease expense</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14,980</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14,639</w:t>
            </w:r>
          </w:p>
        </w:tc>
        <w:tc>
          <w:tcPr>
            <w:tcW w:w="237" w:type="dxa"/>
            <w:tcBorders/>
            <w:vAlign w:val="center"/>
          </w:tcPr>
          <w:p>
            <w:pPr>
              <w:pStyle w:val="TableContents"/>
              <w:bidi w:val="0"/>
              <w:spacing w:before="0" w:after="283"/>
              <w:jc w:val="left"/>
              <w:rPr/>
            </w:pPr>
            <w:r>
              <w:rPr/>
              <w:t> </w:t>
            </w:r>
          </w:p>
        </w:tc>
      </w:tr>
      <w:tr>
        <w:trPr/>
        <w:tc>
          <w:tcPr>
            <w:tcW w:w="7182" w:type="dxa"/>
            <w:tcBorders/>
            <w:vAlign w:val="center"/>
          </w:tcPr>
          <w:p>
            <w:pPr>
              <w:pStyle w:val="TableContents"/>
              <w:bidi w:val="0"/>
              <w:spacing w:before="0" w:after="283"/>
              <w:jc w:val="left"/>
              <w:rPr/>
            </w:pPr>
            <w:r>
              <w:rPr/>
              <w:t>Deferred taxes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(1,194</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(1,473</w:t>
            </w:r>
          </w:p>
        </w:tc>
        <w:tc>
          <w:tcPr>
            <w:tcW w:w="237" w:type="dxa"/>
            <w:tcBorders/>
            <w:vAlign w:val="center"/>
          </w:tcPr>
          <w:p>
            <w:pPr>
              <w:pStyle w:val="TableContents"/>
              <w:bidi w:val="0"/>
              <w:spacing w:before="0" w:after="283"/>
              <w:jc w:val="left"/>
              <w:rPr/>
            </w:pPr>
            <w:r>
              <w:rPr/>
              <w:t>)</w:t>
            </w:r>
          </w:p>
        </w:tc>
      </w:tr>
      <w:tr>
        <w:trPr/>
        <w:tc>
          <w:tcPr>
            <w:tcW w:w="7182" w:type="dxa"/>
            <w:tcBorders/>
            <w:vAlign w:val="center"/>
          </w:tcPr>
          <w:p>
            <w:pPr>
              <w:pStyle w:val="TableContents"/>
              <w:bidi w:val="0"/>
              <w:spacing w:before="0" w:after="283"/>
              <w:jc w:val="left"/>
              <w:rPr/>
            </w:pPr>
            <w:r>
              <w:rPr/>
              <w:t>Stock-based compensation expense</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2,024</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1,828</w:t>
            </w:r>
          </w:p>
        </w:tc>
        <w:tc>
          <w:tcPr>
            <w:tcW w:w="237" w:type="dxa"/>
            <w:tcBorders/>
            <w:vAlign w:val="center"/>
          </w:tcPr>
          <w:p>
            <w:pPr>
              <w:pStyle w:val="TableContents"/>
              <w:bidi w:val="0"/>
              <w:spacing w:before="0" w:after="283"/>
              <w:jc w:val="left"/>
              <w:rPr/>
            </w:pPr>
            <w:r>
              <w:rPr/>
              <w:t> </w:t>
            </w:r>
          </w:p>
        </w:tc>
      </w:tr>
      <w:tr>
        <w:trPr/>
        <w:tc>
          <w:tcPr>
            <w:tcW w:w="7182" w:type="dxa"/>
            <w:tcBorders/>
            <w:vAlign w:val="center"/>
          </w:tcPr>
          <w:p>
            <w:pPr>
              <w:pStyle w:val="TableContents"/>
              <w:bidi w:val="0"/>
              <w:spacing w:before="0" w:after="283"/>
              <w:jc w:val="left"/>
              <w:rPr/>
            </w:pPr>
            <w:r>
              <w:rPr/>
              <w:t>Impairment of long-lived assets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511</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462</w:t>
            </w:r>
          </w:p>
        </w:tc>
        <w:tc>
          <w:tcPr>
            <w:tcW w:w="237" w:type="dxa"/>
            <w:tcBorders/>
            <w:vAlign w:val="center"/>
          </w:tcPr>
          <w:p>
            <w:pPr>
              <w:pStyle w:val="TableContents"/>
              <w:bidi w:val="0"/>
              <w:spacing w:before="0" w:after="283"/>
              <w:jc w:val="left"/>
              <w:rPr/>
            </w:pPr>
            <w:r>
              <w:rPr/>
              <w:t> </w:t>
            </w:r>
          </w:p>
        </w:tc>
      </w:tr>
      <w:tr>
        <w:trPr/>
        <w:tc>
          <w:tcPr>
            <w:tcW w:w="7182" w:type="dxa"/>
            <w:tcBorders/>
            <w:vAlign w:val="center"/>
          </w:tcPr>
          <w:p>
            <w:pPr>
              <w:pStyle w:val="TableContents"/>
              <w:bidi w:val="0"/>
              <w:spacing w:before="0" w:after="283"/>
              <w:jc w:val="left"/>
              <w:rPr/>
            </w:pPr>
            <w:r>
              <w:rPr/>
              <w:t>Other</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126</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(765</w:t>
            </w:r>
          </w:p>
        </w:tc>
        <w:tc>
          <w:tcPr>
            <w:tcW w:w="237" w:type="dxa"/>
            <w:tcBorders/>
            <w:vAlign w:val="center"/>
          </w:tcPr>
          <w:p>
            <w:pPr>
              <w:pStyle w:val="TableContents"/>
              <w:bidi w:val="0"/>
              <w:spacing w:before="0" w:after="283"/>
              <w:jc w:val="left"/>
              <w:rPr/>
            </w:pPr>
            <w:r>
              <w:rPr/>
              <w:t>)</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t>Changes in operating assets and liabilities:</w:t>
            </w:r>
          </w:p>
        </w:tc>
        <w:tc>
          <w:tcPr>
            <w:tcW w:w="146" w:type="dxa"/>
            <w:tcBorders/>
            <w:vAlign w:val="center"/>
          </w:tcPr>
          <w:p>
            <w:pPr>
              <w:pStyle w:val="TableContents"/>
              <w:bidi w:val="0"/>
              <w:spacing w:before="0" w:after="283"/>
              <w:jc w:val="left"/>
              <w:rPr/>
            </w:pPr>
            <w:r>
              <w:rPr/>
              <w:t> </w:t>
            </w:r>
          </w:p>
        </w:tc>
        <w:tc>
          <w:tcPr>
            <w:tcW w:w="134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89" w:type="dxa"/>
            <w:gridSpan w:val="3"/>
            <w:tcBorders/>
            <w:vAlign w:val="center"/>
          </w:tcPr>
          <w:p>
            <w:pPr>
              <w:pStyle w:val="TableContents"/>
              <w:bidi w:val="0"/>
              <w:spacing w:before="0" w:after="283"/>
              <w:jc w:val="right"/>
              <w:rPr/>
            </w:pPr>
            <w:r>
              <w:rPr/>
              <w:t> </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t>Receivables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777</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(758</w:t>
            </w:r>
          </w:p>
        </w:tc>
        <w:tc>
          <w:tcPr>
            <w:tcW w:w="237" w:type="dxa"/>
            <w:tcBorders/>
            <w:vAlign w:val="center"/>
          </w:tcPr>
          <w:p>
            <w:pPr>
              <w:pStyle w:val="TableContents"/>
              <w:bidi w:val="0"/>
              <w:spacing w:before="0" w:after="283"/>
              <w:jc w:val="left"/>
              <w:rPr/>
            </w:pPr>
            <w:r>
              <w:rPr/>
              <w:t>)</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t>Inventories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(6,534</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(119</w:t>
            </w:r>
          </w:p>
        </w:tc>
        <w:tc>
          <w:tcPr>
            <w:tcW w:w="237" w:type="dxa"/>
            <w:tcBorders/>
            <w:vAlign w:val="center"/>
          </w:tcPr>
          <w:p>
            <w:pPr>
              <w:pStyle w:val="TableContents"/>
              <w:bidi w:val="0"/>
              <w:spacing w:before="0" w:after="283"/>
              <w:jc w:val="left"/>
              <w:rPr/>
            </w:pPr>
            <w:r>
              <w:rPr/>
              <w:t>)</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t>Prepaid expenses and other assets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(729</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299</w:t>
            </w:r>
          </w:p>
        </w:tc>
        <w:tc>
          <w:tcPr>
            <w:tcW w:w="237" w:type="dxa"/>
            <w:tcBorders/>
            <w:vAlign w:val="center"/>
          </w:tcPr>
          <w:p>
            <w:pPr>
              <w:pStyle w:val="TableContents"/>
              <w:bidi w:val="0"/>
              <w:spacing w:before="0" w:after="283"/>
              <w:jc w:val="left"/>
              <w:rPr/>
            </w:pPr>
            <w:r>
              <w:rPr/>
              <w:t> </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t>Trade accounts payable</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7,145</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(1,357</w:t>
            </w:r>
          </w:p>
        </w:tc>
        <w:tc>
          <w:tcPr>
            <w:tcW w:w="237" w:type="dxa"/>
            <w:tcBorders/>
            <w:vAlign w:val="center"/>
          </w:tcPr>
          <w:p>
            <w:pPr>
              <w:pStyle w:val="TableContents"/>
              <w:bidi w:val="0"/>
              <w:spacing w:before="0" w:after="283"/>
              <w:jc w:val="left"/>
              <w:rPr/>
            </w:pPr>
            <w:r>
              <w:rPr/>
              <w:t>)</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t>Accrued payroll and payroll taxes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(10,537</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(5,863</w:t>
            </w:r>
          </w:p>
        </w:tc>
        <w:tc>
          <w:tcPr>
            <w:tcW w:w="237" w:type="dxa"/>
            <w:tcBorders/>
            <w:vAlign w:val="center"/>
          </w:tcPr>
          <w:p>
            <w:pPr>
              <w:pStyle w:val="TableContents"/>
              <w:bidi w:val="0"/>
              <w:spacing w:before="0" w:after="283"/>
              <w:jc w:val="left"/>
              <w:rPr/>
            </w:pPr>
            <w:r>
              <w:rPr/>
              <w:t>)</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t>Income taxes payable</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(4,926</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(259</w:t>
            </w:r>
          </w:p>
        </w:tc>
        <w:tc>
          <w:tcPr>
            <w:tcW w:w="237" w:type="dxa"/>
            <w:tcBorders/>
            <w:vAlign w:val="center"/>
          </w:tcPr>
          <w:p>
            <w:pPr>
              <w:pStyle w:val="TableContents"/>
              <w:bidi w:val="0"/>
              <w:spacing w:before="0" w:after="283"/>
              <w:jc w:val="left"/>
              <w:rPr/>
            </w:pPr>
            <w:r>
              <w:rPr/>
              <w:t>)</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t>Operating lease liabilities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(15,947</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(16,588</w:t>
            </w:r>
          </w:p>
        </w:tc>
        <w:tc>
          <w:tcPr>
            <w:tcW w:w="237" w:type="dxa"/>
            <w:tcBorders/>
            <w:vAlign w:val="center"/>
          </w:tcPr>
          <w:p>
            <w:pPr>
              <w:pStyle w:val="TableContents"/>
              <w:bidi w:val="0"/>
              <w:spacing w:before="0" w:after="283"/>
              <w:jc w:val="left"/>
              <w:rPr/>
            </w:pPr>
            <w:r>
              <w:rPr/>
              <w:t>)</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t>Other liabilities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(5,423</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(3,187</w:t>
            </w:r>
          </w:p>
        </w:tc>
        <w:tc>
          <w:tcPr>
            <w:tcW w:w="237" w:type="dxa"/>
            <w:tcBorders/>
            <w:vAlign w:val="center"/>
          </w:tcPr>
          <w:p>
            <w:pPr>
              <w:pStyle w:val="TableContents"/>
              <w:bidi w:val="0"/>
              <w:spacing w:before="0" w:after="283"/>
              <w:jc w:val="left"/>
              <w:rPr/>
            </w:pPr>
            <w:r>
              <w:rPr/>
              <w:t>)</w:t>
            </w:r>
          </w:p>
        </w:tc>
      </w:tr>
      <w:tr>
        <w:trPr/>
        <w:tc>
          <w:tcPr>
            <w:tcW w:w="7182" w:type="dxa"/>
            <w:tcBorders/>
            <w:vAlign w:val="center"/>
          </w:tcPr>
          <w:p>
            <w:pPr>
              <w:pStyle w:val="TableContents"/>
              <w:bidi w:val="0"/>
              <w:spacing w:before="0" w:after="283"/>
              <w:jc w:val="left"/>
              <w:rPr/>
            </w:pPr>
            <w:r>
              <w:rPr>
                <w:rStyle w:val="StrongEmphasis"/>
              </w:rPr>
              <w:t>Net cash used in operating activities</w:t>
            </w:r>
          </w:p>
        </w:tc>
        <w:tc>
          <w:tcPr>
            <w:tcW w:w="146" w:type="dxa"/>
            <w:tcBorders/>
            <w:vAlign w:val="center"/>
          </w:tcPr>
          <w:p>
            <w:pPr>
              <w:pStyle w:val="TableContents"/>
              <w:bidi w:val="0"/>
              <w:spacing w:before="0" w:after="283"/>
              <w:jc w:val="left"/>
              <w:rPr/>
            </w:pPr>
            <w:r>
              <w:rPr/>
              <w:t> </w:t>
            </w:r>
          </w:p>
        </w:tc>
        <w:tc>
          <w:tcPr>
            <w:tcW w:w="2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(28,095</w:t>
            </w:r>
          </w:p>
        </w:tc>
        <w:tc>
          <w:tcPr>
            <w:tcW w:w="18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(22,084</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7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89" w:type="dxa"/>
            <w:gridSpan w:val="3"/>
            <w:tcBorders/>
            <w:vAlign w:val="center"/>
          </w:tcPr>
          <w:p>
            <w:pPr>
              <w:pStyle w:val="TableContents"/>
              <w:bidi w:val="0"/>
              <w:spacing w:before="0" w:after="283"/>
              <w:jc w:val="right"/>
              <w:rPr/>
            </w:pPr>
            <w:r>
              <w:rPr/>
              <w:t> </w:t>
            </w:r>
          </w:p>
        </w:tc>
      </w:tr>
      <w:tr>
        <w:trPr/>
        <w:tc>
          <w:tcPr>
            <w:tcW w:w="7182" w:type="dxa"/>
            <w:tcBorders/>
            <w:vAlign w:val="center"/>
          </w:tcPr>
          <w:p>
            <w:pPr>
              <w:pStyle w:val="TableContents"/>
              <w:bidi w:val="0"/>
              <w:spacing w:before="0" w:after="283"/>
              <w:jc w:val="left"/>
              <w:rPr/>
            </w:pPr>
            <w:r>
              <w:rPr>
                <w:rStyle w:val="StrongEmphasis"/>
              </w:rPr>
              <w:t>Cash flows from investing activities:</w:t>
            </w:r>
          </w:p>
        </w:tc>
        <w:tc>
          <w:tcPr>
            <w:tcW w:w="146" w:type="dxa"/>
            <w:tcBorders/>
            <w:vAlign w:val="center"/>
          </w:tcPr>
          <w:p>
            <w:pPr>
              <w:pStyle w:val="TableContents"/>
              <w:bidi w:val="0"/>
              <w:spacing w:before="0" w:after="283"/>
              <w:jc w:val="left"/>
              <w:rPr/>
            </w:pPr>
            <w:r>
              <w:rPr/>
              <w:t> </w:t>
            </w:r>
          </w:p>
        </w:tc>
        <w:tc>
          <w:tcPr>
            <w:tcW w:w="134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89" w:type="dxa"/>
            <w:gridSpan w:val="3"/>
            <w:tcBorders/>
            <w:vAlign w:val="center"/>
          </w:tcPr>
          <w:p>
            <w:pPr>
              <w:pStyle w:val="TableContents"/>
              <w:bidi w:val="0"/>
              <w:spacing w:before="0" w:after="283"/>
              <w:jc w:val="right"/>
              <w:rPr/>
            </w:pPr>
            <w:r>
              <w:rPr/>
              <w:t> </w:t>
            </w:r>
          </w:p>
        </w:tc>
      </w:tr>
      <w:tr>
        <w:trPr/>
        <w:tc>
          <w:tcPr>
            <w:tcW w:w="7182" w:type="dxa"/>
            <w:tcBorders/>
            <w:vAlign w:val="center"/>
          </w:tcPr>
          <w:p>
            <w:pPr>
              <w:pStyle w:val="TableContents"/>
              <w:bidi w:val="0"/>
              <w:spacing w:before="0" w:after="283"/>
              <w:jc w:val="left"/>
              <w:rPr/>
            </w:pPr>
            <w:r>
              <w:rPr/>
              <w:t>Additions to fixed assets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(1,707</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(2,219</w:t>
            </w:r>
          </w:p>
        </w:tc>
        <w:tc>
          <w:tcPr>
            <w:tcW w:w="237" w:type="dxa"/>
            <w:tcBorders/>
            <w:vAlign w:val="center"/>
          </w:tcPr>
          <w:p>
            <w:pPr>
              <w:pStyle w:val="TableContents"/>
              <w:bidi w:val="0"/>
              <w:spacing w:before="0" w:after="283"/>
              <w:jc w:val="left"/>
              <w:rPr/>
            </w:pPr>
            <w:r>
              <w:rPr/>
              <w:t>)</w:t>
            </w:r>
          </w:p>
        </w:tc>
      </w:tr>
      <w:tr>
        <w:trPr/>
        <w:tc>
          <w:tcPr>
            <w:tcW w:w="7182" w:type="dxa"/>
            <w:tcBorders/>
            <w:vAlign w:val="center"/>
          </w:tcPr>
          <w:p>
            <w:pPr>
              <w:pStyle w:val="TableContents"/>
              <w:bidi w:val="0"/>
              <w:spacing w:before="0" w:after="283"/>
              <w:jc w:val="left"/>
              <w:rPr/>
            </w:pPr>
            <w:r>
              <w:rPr/>
              <w:t>Purchases of marketable securities and other investments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(27,088</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(7,055</w:t>
            </w:r>
          </w:p>
        </w:tc>
        <w:tc>
          <w:tcPr>
            <w:tcW w:w="237" w:type="dxa"/>
            <w:tcBorders/>
            <w:vAlign w:val="center"/>
          </w:tcPr>
          <w:p>
            <w:pPr>
              <w:pStyle w:val="TableContents"/>
              <w:bidi w:val="0"/>
              <w:spacing w:before="0" w:after="283"/>
              <w:jc w:val="left"/>
              <w:rPr/>
            </w:pPr>
            <w:r>
              <w:rPr/>
              <w:t>)</w:t>
            </w:r>
          </w:p>
        </w:tc>
      </w:tr>
      <w:tr>
        <w:trPr/>
        <w:tc>
          <w:tcPr>
            <w:tcW w:w="7182" w:type="dxa"/>
            <w:tcBorders/>
            <w:vAlign w:val="center"/>
          </w:tcPr>
          <w:p>
            <w:pPr>
              <w:pStyle w:val="TableContents"/>
              <w:bidi w:val="0"/>
              <w:spacing w:before="0" w:after="283"/>
              <w:jc w:val="left"/>
              <w:rPr/>
            </w:pPr>
            <w:r>
              <w:rPr/>
              <w:t>Sales and maturities of marketable securities and other investments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2,544</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5,086</w:t>
            </w:r>
          </w:p>
        </w:tc>
        <w:tc>
          <w:tcPr>
            <w:tcW w:w="237" w:type="dxa"/>
            <w:tcBorders/>
            <w:vAlign w:val="center"/>
          </w:tcPr>
          <w:p>
            <w:pPr>
              <w:pStyle w:val="TableContents"/>
              <w:bidi w:val="0"/>
              <w:spacing w:before="0" w:after="283"/>
              <w:jc w:val="left"/>
              <w:rPr/>
            </w:pPr>
            <w:r>
              <w:rPr/>
              <w:t> </w:t>
            </w:r>
          </w:p>
        </w:tc>
      </w:tr>
      <w:tr>
        <w:trPr/>
        <w:tc>
          <w:tcPr>
            <w:tcW w:w="7182" w:type="dxa"/>
            <w:tcBorders/>
            <w:vAlign w:val="center"/>
          </w:tcPr>
          <w:p>
            <w:pPr>
              <w:pStyle w:val="TableContents"/>
              <w:bidi w:val="0"/>
              <w:spacing w:before="0" w:after="283"/>
              <w:jc w:val="left"/>
              <w:rPr/>
            </w:pPr>
            <w:r>
              <w:rPr>
                <w:rStyle w:val="StrongEmphasis"/>
              </w:rPr>
              <w:t>Net cash used in investing activities</w:t>
            </w:r>
          </w:p>
        </w:tc>
        <w:tc>
          <w:tcPr>
            <w:tcW w:w="146" w:type="dxa"/>
            <w:tcBorders/>
            <w:vAlign w:val="center"/>
          </w:tcPr>
          <w:p>
            <w:pPr>
              <w:pStyle w:val="TableContents"/>
              <w:bidi w:val="0"/>
              <w:spacing w:before="0" w:after="283"/>
              <w:jc w:val="left"/>
              <w:rPr/>
            </w:pPr>
            <w:r>
              <w:rPr/>
              <w:t> </w:t>
            </w:r>
          </w:p>
        </w:tc>
        <w:tc>
          <w:tcPr>
            <w:tcW w:w="2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(26,251</w:t>
            </w:r>
          </w:p>
        </w:tc>
        <w:tc>
          <w:tcPr>
            <w:tcW w:w="18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(4,188</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7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89" w:type="dxa"/>
            <w:gridSpan w:val="3"/>
            <w:tcBorders/>
            <w:vAlign w:val="center"/>
          </w:tcPr>
          <w:p>
            <w:pPr>
              <w:pStyle w:val="TableContents"/>
              <w:bidi w:val="0"/>
              <w:spacing w:before="0" w:after="283"/>
              <w:jc w:val="right"/>
              <w:rPr/>
            </w:pPr>
            <w:r>
              <w:rPr/>
              <w:t> </w:t>
            </w:r>
          </w:p>
        </w:tc>
      </w:tr>
      <w:tr>
        <w:trPr/>
        <w:tc>
          <w:tcPr>
            <w:tcW w:w="7182" w:type="dxa"/>
            <w:tcBorders/>
            <w:vAlign w:val="center"/>
          </w:tcPr>
          <w:p>
            <w:pPr>
              <w:pStyle w:val="TableContents"/>
              <w:bidi w:val="0"/>
              <w:spacing w:before="0" w:after="283"/>
              <w:jc w:val="left"/>
              <w:rPr/>
            </w:pPr>
            <w:r>
              <w:rPr>
                <w:rStyle w:val="StrongEmphasis"/>
              </w:rPr>
              <w:t>Cash flows from financing activities:</w:t>
            </w:r>
          </w:p>
        </w:tc>
        <w:tc>
          <w:tcPr>
            <w:tcW w:w="146" w:type="dxa"/>
            <w:tcBorders/>
            <w:vAlign w:val="center"/>
          </w:tcPr>
          <w:p>
            <w:pPr>
              <w:pStyle w:val="TableContents"/>
              <w:bidi w:val="0"/>
              <w:spacing w:before="0" w:after="283"/>
              <w:jc w:val="left"/>
              <w:rPr/>
            </w:pPr>
            <w:r>
              <w:rPr/>
              <w:t> </w:t>
            </w:r>
          </w:p>
        </w:tc>
        <w:tc>
          <w:tcPr>
            <w:tcW w:w="134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89" w:type="dxa"/>
            <w:gridSpan w:val="3"/>
            <w:tcBorders/>
            <w:vAlign w:val="center"/>
          </w:tcPr>
          <w:p>
            <w:pPr>
              <w:pStyle w:val="TableContents"/>
              <w:bidi w:val="0"/>
              <w:spacing w:before="0" w:after="283"/>
              <w:jc w:val="right"/>
              <w:rPr/>
            </w:pPr>
            <w:r>
              <w:rPr/>
              <w:t> </w:t>
            </w:r>
          </w:p>
        </w:tc>
      </w:tr>
      <w:tr>
        <w:trPr/>
        <w:tc>
          <w:tcPr>
            <w:tcW w:w="7182" w:type="dxa"/>
            <w:tcBorders/>
            <w:vAlign w:val="center"/>
          </w:tcPr>
          <w:p>
            <w:pPr>
              <w:pStyle w:val="TableContents"/>
              <w:bidi w:val="0"/>
              <w:spacing w:before="0" w:after="283"/>
              <w:jc w:val="left"/>
              <w:rPr/>
            </w:pPr>
            <w:r>
              <w:rPr/>
              <w:t>Proceeds from the issuance and exercise of stock-based awards, net of tax</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34</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378</w:t>
            </w:r>
          </w:p>
        </w:tc>
        <w:tc>
          <w:tcPr>
            <w:tcW w:w="237" w:type="dxa"/>
            <w:tcBorders/>
            <w:vAlign w:val="center"/>
          </w:tcPr>
          <w:p>
            <w:pPr>
              <w:pStyle w:val="TableContents"/>
              <w:bidi w:val="0"/>
              <w:spacing w:before="0" w:after="283"/>
              <w:jc w:val="left"/>
              <w:rPr/>
            </w:pPr>
            <w:r>
              <w:rPr/>
              <w:t> </w:t>
            </w:r>
          </w:p>
        </w:tc>
      </w:tr>
      <w:tr>
        <w:trPr/>
        <w:tc>
          <w:tcPr>
            <w:tcW w:w="7182" w:type="dxa"/>
            <w:tcBorders/>
            <w:vAlign w:val="center"/>
          </w:tcPr>
          <w:p>
            <w:pPr>
              <w:pStyle w:val="TableContents"/>
              <w:bidi w:val="0"/>
              <w:spacing w:before="0" w:after="283"/>
              <w:jc w:val="left"/>
              <w:rPr/>
            </w:pPr>
            <w:r>
              <w:rPr/>
              <w:t>Repurchase of common stock</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(5,994</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(25,215</w:t>
            </w:r>
          </w:p>
        </w:tc>
        <w:tc>
          <w:tcPr>
            <w:tcW w:w="237" w:type="dxa"/>
            <w:tcBorders/>
            <w:vAlign w:val="center"/>
          </w:tcPr>
          <w:p>
            <w:pPr>
              <w:pStyle w:val="TableContents"/>
              <w:bidi w:val="0"/>
              <w:spacing w:before="0" w:after="283"/>
              <w:jc w:val="left"/>
              <w:rPr/>
            </w:pPr>
            <w:r>
              <w:rPr/>
              <w:t>)</w:t>
            </w:r>
          </w:p>
        </w:tc>
      </w:tr>
      <w:tr>
        <w:trPr/>
        <w:tc>
          <w:tcPr>
            <w:tcW w:w="7182" w:type="dxa"/>
            <w:tcBorders/>
            <w:vAlign w:val="center"/>
          </w:tcPr>
          <w:p>
            <w:pPr>
              <w:pStyle w:val="TableContents"/>
              <w:bidi w:val="0"/>
              <w:spacing w:before="0" w:after="283"/>
              <w:jc w:val="left"/>
              <w:rPr/>
            </w:pPr>
            <w:r>
              <w:rPr>
                <w:rStyle w:val="StrongEmphasis"/>
              </w:rPr>
              <w:t>Net cash used in financing activities</w:t>
            </w:r>
          </w:p>
        </w:tc>
        <w:tc>
          <w:tcPr>
            <w:tcW w:w="146" w:type="dxa"/>
            <w:tcBorders/>
            <w:vAlign w:val="center"/>
          </w:tcPr>
          <w:p>
            <w:pPr>
              <w:pStyle w:val="TableContents"/>
              <w:bidi w:val="0"/>
              <w:spacing w:before="0" w:after="283"/>
              <w:jc w:val="left"/>
              <w:rPr/>
            </w:pPr>
            <w:r>
              <w:rPr/>
              <w:t> </w:t>
            </w:r>
          </w:p>
        </w:tc>
        <w:tc>
          <w:tcPr>
            <w:tcW w:w="2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(5,960</w:t>
            </w:r>
          </w:p>
        </w:tc>
        <w:tc>
          <w:tcPr>
            <w:tcW w:w="18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(24,837</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71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89" w:type="dxa"/>
            <w:gridSpan w:val="3"/>
            <w:tcBorders/>
            <w:vAlign w:val="center"/>
          </w:tcPr>
          <w:p>
            <w:pPr>
              <w:pStyle w:val="TableContents"/>
              <w:bidi w:val="0"/>
              <w:spacing w:before="0" w:after="283"/>
              <w:jc w:val="right"/>
              <w:rPr/>
            </w:pPr>
            <w:r>
              <w:rPr/>
              <w:t> </w:t>
            </w:r>
          </w:p>
        </w:tc>
      </w:tr>
      <w:tr>
        <w:trPr/>
        <w:tc>
          <w:tcPr>
            <w:tcW w:w="7182" w:type="dxa"/>
            <w:tcBorders/>
            <w:vAlign w:val="center"/>
          </w:tcPr>
          <w:p>
            <w:pPr>
              <w:pStyle w:val="TableContents"/>
              <w:bidi w:val="0"/>
              <w:spacing w:before="0" w:after="283"/>
              <w:jc w:val="left"/>
              <w:rPr/>
            </w:pPr>
            <w:r>
              <w:rPr>
                <w:rStyle w:val="StrongEmphasis"/>
              </w:rPr>
              <w:t>Effect of exchange rate changes on cash, cash equivalents, and restricted cash</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(645</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1,608</w:t>
            </w:r>
          </w:p>
        </w:tc>
        <w:tc>
          <w:tcPr>
            <w:tcW w:w="237" w:type="dxa"/>
            <w:tcBorders/>
            <w:vAlign w:val="center"/>
          </w:tcPr>
          <w:p>
            <w:pPr>
              <w:pStyle w:val="TableContents"/>
              <w:bidi w:val="0"/>
              <w:spacing w:before="0" w:after="283"/>
              <w:jc w:val="left"/>
              <w:rPr/>
            </w:pPr>
            <w:r>
              <w:rPr/>
              <w:t> </w:t>
            </w:r>
          </w:p>
        </w:tc>
      </w:tr>
      <w:tr>
        <w:trPr/>
        <w:tc>
          <w:tcPr>
            <w:tcW w:w="7182" w:type="dxa"/>
            <w:tcBorders/>
            <w:vAlign w:val="center"/>
          </w:tcPr>
          <w:p>
            <w:pPr>
              <w:pStyle w:val="TableContents"/>
              <w:bidi w:val="0"/>
              <w:spacing w:before="0" w:after="283"/>
              <w:jc w:val="left"/>
              <w:rPr/>
            </w:pPr>
            <w:r>
              <w:rPr>
                <w:rStyle w:val="StrongEmphasis"/>
              </w:rPr>
              <w:t>Net decrease in cash, cash equivalents, and restricted cash</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(60,951</w:t>
            </w:r>
          </w:p>
        </w:tc>
        <w:tc>
          <w:tcPr>
            <w:tcW w:w="18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(49,501</w:t>
            </w:r>
          </w:p>
        </w:tc>
        <w:tc>
          <w:tcPr>
            <w:tcW w:w="237" w:type="dxa"/>
            <w:tcBorders/>
            <w:vAlign w:val="center"/>
          </w:tcPr>
          <w:p>
            <w:pPr>
              <w:pStyle w:val="TableContents"/>
              <w:bidi w:val="0"/>
              <w:spacing w:before="0" w:after="283"/>
              <w:jc w:val="left"/>
              <w:rPr/>
            </w:pPr>
            <w:r>
              <w:rPr/>
              <w:t>)</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rStyle w:val="StrongEmphasis"/>
              </w:rPr>
              <w:t>Cash, cash equivalents, and restricted cash, beginning of period</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134,113</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121,517</w:t>
            </w:r>
          </w:p>
        </w:tc>
        <w:tc>
          <w:tcPr>
            <w:tcW w:w="237" w:type="dxa"/>
            <w:tcBorders/>
            <w:vAlign w:val="center"/>
          </w:tcPr>
          <w:p>
            <w:pPr>
              <w:pStyle w:val="TableContents"/>
              <w:bidi w:val="0"/>
              <w:spacing w:before="0" w:after="283"/>
              <w:jc w:val="left"/>
              <w:rPr/>
            </w:pPr>
            <w:r>
              <w:rPr/>
              <w:t> </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rStyle w:val="StrongEmphasis"/>
              </w:rPr>
              <w:t>Cash, cash equivalents, and restricted cash, end of period</w:t>
            </w:r>
          </w:p>
        </w:tc>
        <w:tc>
          <w:tcPr>
            <w:tcW w:w="146" w:type="dxa"/>
            <w:tcBorders/>
            <w:vAlign w:val="center"/>
          </w:tcPr>
          <w:p>
            <w:pPr>
              <w:pStyle w:val="TableContents"/>
              <w:bidi w:val="0"/>
              <w:spacing w:before="0" w:after="283"/>
              <w:jc w:val="left"/>
              <w:rPr/>
            </w:pPr>
            <w:r>
              <w:rPr/>
              <w:t> </w:t>
            </w:r>
          </w:p>
        </w:tc>
        <w:tc>
          <w:tcPr>
            <w:tcW w:w="23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73,162</w:t>
            </w:r>
          </w:p>
        </w:tc>
        <w:tc>
          <w:tcPr>
            <w:tcW w:w="18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72,016</w:t>
            </w:r>
          </w:p>
        </w:tc>
        <w:tc>
          <w:tcPr>
            <w:tcW w:w="2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rStyle w:val="StrongEmphasis"/>
              </w:rPr>
              <w:t>Supplemental disclosure on cash flow information:</w:t>
            </w:r>
          </w:p>
        </w:tc>
        <w:tc>
          <w:tcPr>
            <w:tcW w:w="146" w:type="dxa"/>
            <w:tcBorders/>
            <w:vAlign w:val="center"/>
          </w:tcPr>
          <w:p>
            <w:pPr>
              <w:pStyle w:val="TableContents"/>
              <w:bidi w:val="0"/>
              <w:spacing w:before="0" w:after="283"/>
              <w:jc w:val="left"/>
              <w:rPr/>
            </w:pPr>
            <w:r>
              <w:rPr/>
              <w:t> </w:t>
            </w:r>
          </w:p>
        </w:tc>
        <w:tc>
          <w:tcPr>
            <w:tcW w:w="134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89" w:type="dxa"/>
            <w:gridSpan w:val="3"/>
            <w:tcBorders/>
            <w:vAlign w:val="center"/>
          </w:tcPr>
          <w:p>
            <w:pPr>
              <w:pStyle w:val="TableContents"/>
              <w:bidi w:val="0"/>
              <w:spacing w:before="0" w:after="283"/>
              <w:jc w:val="right"/>
              <w:rPr/>
            </w:pPr>
            <w:r>
              <w:rPr/>
              <w:t> </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t>Cash paid during the period for income taxes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w:t>
            </w:r>
          </w:p>
        </w:tc>
        <w:tc>
          <w:tcPr>
            <w:tcW w:w="920" w:type="dxa"/>
            <w:tcBorders/>
            <w:vAlign w:val="center"/>
          </w:tcPr>
          <w:p>
            <w:pPr>
              <w:pStyle w:val="TableContents"/>
              <w:bidi w:val="0"/>
              <w:spacing w:before="0" w:after="283"/>
              <w:jc w:val="right"/>
              <w:rPr/>
            </w:pPr>
            <w:r>
              <w:rPr/>
              <w:t>4,912</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w:t>
            </w:r>
          </w:p>
        </w:tc>
        <w:tc>
          <w:tcPr>
            <w:tcW w:w="919" w:type="dxa"/>
            <w:tcBorders/>
            <w:vAlign w:val="center"/>
          </w:tcPr>
          <w:p>
            <w:pPr>
              <w:pStyle w:val="TableContents"/>
              <w:bidi w:val="0"/>
              <w:spacing w:before="0" w:after="283"/>
              <w:jc w:val="right"/>
              <w:rPr/>
            </w:pPr>
            <w:r>
              <w:rPr/>
              <w:t>412</w:t>
            </w:r>
          </w:p>
        </w:tc>
        <w:tc>
          <w:tcPr>
            <w:tcW w:w="237" w:type="dxa"/>
            <w:tcBorders/>
            <w:vAlign w:val="center"/>
          </w:tcPr>
          <w:p>
            <w:pPr>
              <w:pStyle w:val="TableContents"/>
              <w:bidi w:val="0"/>
              <w:spacing w:before="0" w:after="283"/>
              <w:jc w:val="left"/>
              <w:rPr/>
            </w:pPr>
            <w:r>
              <w:rPr/>
              <w:t> </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t>Accrual for purchases of fixed assets</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1,033</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982</w:t>
            </w:r>
          </w:p>
        </w:tc>
        <w:tc>
          <w:tcPr>
            <w:tcW w:w="237" w:type="dxa"/>
            <w:tcBorders/>
            <w:vAlign w:val="center"/>
          </w:tcPr>
          <w:p>
            <w:pPr>
              <w:pStyle w:val="TableContents"/>
              <w:bidi w:val="0"/>
              <w:spacing w:before="0" w:after="283"/>
              <w:jc w:val="left"/>
              <w:rPr/>
            </w:pPr>
            <w:r>
              <w:rPr/>
              <w:t> </w:t>
            </w:r>
          </w:p>
        </w:tc>
      </w:tr>
      <w:tr>
        <w:trPr/>
        <w:tc>
          <w:tcPr>
            <w:tcW w:w="7182" w:type="dxa"/>
            <w:tcBorders/>
            <w:tcMar>
              <w:top w:w="0" w:type="dxa"/>
              <w:left w:w="0" w:type="dxa"/>
              <w:bottom w:w="0" w:type="dxa"/>
              <w:right w:w="0" w:type="dxa"/>
            </w:tcMar>
            <w:vAlign w:val="center"/>
          </w:tcPr>
          <w:p>
            <w:pPr>
              <w:pStyle w:val="TableContents"/>
              <w:bidi w:val="0"/>
              <w:spacing w:before="0" w:after="283"/>
              <w:jc w:val="left"/>
              <w:rPr/>
            </w:pPr>
            <w:r>
              <w:rPr/>
              <w:t>Accrual for repurchase of common stock</w:t>
            </w:r>
          </w:p>
        </w:tc>
        <w:tc>
          <w:tcPr>
            <w:tcW w:w="146"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237</w:t>
            </w:r>
          </w:p>
        </w:tc>
        <w:tc>
          <w:tcPr>
            <w:tcW w:w="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right"/>
              <w:rPr/>
            </w:pPr>
            <w:r>
              <w:rPr/>
              <w:t>-</w:t>
            </w:r>
          </w:p>
        </w:tc>
        <w:tc>
          <w:tcPr>
            <w:tcW w:w="237"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p>
      <w:pPr>
        <w:pStyle w:val="TextBody"/>
        <w:bidi w:val="0"/>
        <w:spacing w:before="0" w:after="283"/>
        <w:jc w:val="left"/>
        <w:rPr/>
      </w:pPr>
      <w:r>
        <w:rPr>
          <w:rStyle w:val="StrongEmphasis"/>
        </w:rPr>
        <w:t>Company Contact:</w:t>
      </w:r>
      <w:r>
        <w:rPr/>
        <w:br/>
        <w:t>Darin White</w:t>
        <w:br/>
        <w:t>Director of Finance &amp; Investor Relations</w:t>
        <w:br/>
        <w:t>Zumiez Inc.</w:t>
        <w:br/>
        <w:t>(425) 551-1500, ext. 1337</w:t>
      </w:r>
    </w:p>
    <w:p>
      <w:pPr>
        <w:pStyle w:val="TextBody"/>
        <w:bidi w:val="0"/>
        <w:spacing w:before="0" w:after="283"/>
        <w:jc w:val="left"/>
        <w:rPr/>
      </w:pPr>
      <w:r>
        <w:rPr>
          <w:rStyle w:val="StrongEmphasis"/>
        </w:rPr>
        <w:t>Investor Contact:</w:t>
      </w:r>
      <w:r>
        <w:rPr/>
        <w:br/>
        <w:t>ICR</w:t>
        <w:br/>
        <w:t xml:space="preserve">Brendon Frey </w:t>
        <w:br/>
        <w:t>(203) 682-8200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2273</Words>
  <Characters>12454</Characters>
  <CharactersWithSpaces>14932</CharactersWithSpaces>
  <Paragraphs>1127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