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James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commencement date shall be the date of the next annual meeting of shareholders, which is generally scheduled to take place approximately 1 year from the Grant Date in the event the Grantee does not have a Separation from Service prior to this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 Visser, Attorney-in-Fact 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Zumiez Inc.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579" w:firstLine="7"/>
        <w:spacing w:after="0" w:line="273" w:lineRule="auto"/>
        <w:tabs>
          <w:tab w:leader="none" w:pos="31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Designation of Attorneys-in-Fact. The undersigned, hereby designates Chris K. Visser, an individual with full power of substitution, as my attorney-in-fact to act for me and in my name, place and stead, and on my behalf in connection with the matters set forth in Item 2 below.</w:t>
      </w:r>
    </w:p>
    <w:p>
      <w:pPr>
        <w:spacing w:after="0" w:line="84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Powers of Attorney-in-Fact.  Each attorney-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4279"/>
        <w:spacing w:after="0" w:line="26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in-fact, as fiduciary, shall have the authority to sign all such U.S. Securities and Exchange Commission ("SEC") reports, forms and other filings, specifically including but not limited to Forms 3, 4, 5 and 144, as such attorney-in-fact deems necessary or desirable in connection with the satisfaction of my reporting obligations under the rules and regulations of the SEC.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4479" w:firstLine="7"/>
        <w:spacing w:after="0" w:line="373" w:lineRule="auto"/>
        <w:tabs>
          <w:tab w:leader="none" w:pos="31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Effectiveness. This power of attorney shall become effective upon the execution of this document.</w:t>
      </w:r>
    </w:p>
    <w:p>
      <w:pPr>
        <w:spacing w:after="0" w:line="1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Duration.  This power of attorney shall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4579"/>
        <w:spacing w:after="0" w:line="29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remain in effect until revoked by me. This power of attorney shall not be affected by disability of the principal.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right="4699" w:firstLine="7"/>
        <w:spacing w:after="0" w:line="280" w:lineRule="auto"/>
        <w:tabs>
          <w:tab w:leader="none" w:pos="31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Revocation. This power of attorney may be revoked in writing at any time by my giving written notice to the attorney-in-fact. If this power of attorney has been recorded, the written notice of revocation shall also be recorded.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840"/>
        <w:spacing w:after="0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Date:</w:t>
        <w:tab/>
        <w:t>January 13, 2021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__James P. Murphy____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James P. Murphy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1440" w:gutter="0" w:footer="0" w:header="0"/>
        </w:sectPr>
      </w:pP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STATE OF WASHINGTON COUNTY OF SNOHOMISH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)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)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980" w:space="520"/>
            <w:col w:w="7499"/>
          </w:cols>
          <w:pgMar w:left="460" w:top="11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SIGNED OR ATTESTED before me on 01/13/21.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__Robert Noble________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Signature of Notary Public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__Robert Noble_________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(SEAL)</w:t>
        <w:tab/>
        <w:t>Typed Name of Notary Public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Residing at: Lynnwood WA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My commission expires: _02/10/23_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03319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2025-06-05T13:29:13Z</dcterms:created>
  <dcterms:modified xsi:type="dcterms:W3CDTF">2025-06-05T13:29:13Z</dcterms:modified>
</cp:coreProperties>
</file>