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Travis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4001 204TH STREET SW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Zumiez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ZUMZ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LYNNWOOD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4,110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vesting commencement date shall be the date of the next annual meeting of shareholders, which is generally scheduled to take place approximately 1 year from the Grant Date in the event the Grantee does not have a Separation from Service prior to this vesting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K. Visser,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0214" TargetMode="External"/><Relationship Id="rId14" Type="http://schemas.openxmlformats.org/officeDocument/2006/relationships/hyperlink" Target="http://www.sec.gov/cgi-bin/browse-edgar?action=getcompany&amp;CIK=0001318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2026-06-04T19:52:25Z</dcterms:created>
  <dcterms:modified xsi:type="dcterms:W3CDTF">2026-06-04T19:52:25Z</dcterms:modified>
</cp:coreProperties>
</file>