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October 4, 2006</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ZUMIEZ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w:t>
      </w:r>
    </w:p>
    <w:p>
      <w:pPr>
        <w:spacing w:after="0" w:line="202"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000-51300</w:t>
      </w:r>
      <w:r>
        <w:rPr>
          <w:sz w:val="20"/>
          <w:szCs w:val="20"/>
          <w:color w:val="auto"/>
        </w:rPr>
        <w:tab/>
      </w:r>
      <w:r>
        <w:rPr>
          <w:rFonts w:ascii="Courier New" w:cs="Courier New" w:eastAsia="Courier New" w:hAnsi="Courier New"/>
          <w:sz w:val="16"/>
          <w:szCs w:val="16"/>
          <w:color w:val="auto"/>
        </w:rPr>
        <w:t>91-1040022</w:t>
      </w:r>
    </w:p>
    <w:p>
      <w:pPr>
        <w:spacing w:after="0" w:line="4"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(Commission File Number) (IRS Employer Identification No.)</w:t>
      </w:r>
    </w:p>
    <w:p>
      <w:pPr>
        <w:spacing w:after="0" w:line="200" w:lineRule="exact"/>
        <w:rPr>
          <w:sz w:val="24"/>
          <w:szCs w:val="24"/>
          <w:color w:val="auto"/>
        </w:rPr>
      </w:pPr>
    </w:p>
    <w:p>
      <w:pPr>
        <w:spacing w:after="0" w:line="205"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6300 Merrill Creek Parkway, Suite B, Everett, Washington</w:t>
      </w:r>
      <w:r>
        <w:rPr>
          <w:sz w:val="20"/>
          <w:szCs w:val="20"/>
          <w:color w:val="auto"/>
        </w:rPr>
        <w:tab/>
      </w:r>
      <w:r>
        <w:rPr>
          <w:rFonts w:ascii="Courier New" w:cs="Courier New" w:eastAsia="Courier New" w:hAnsi="Courier New"/>
          <w:sz w:val="16"/>
          <w:szCs w:val="16"/>
          <w:color w:val="auto"/>
        </w:rPr>
        <w:t>98203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551-1500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Written</w:t>
            </w:r>
          </w:p>
        </w:tc>
        <w:tc>
          <w:tcPr>
            <w:tcW w:w="46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communications  pursuant to Rule 425 under</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Securities Act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(17 CFR 230.425)</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Soliciting</w:t>
            </w:r>
          </w:p>
        </w:tc>
        <w:tc>
          <w:tcPr>
            <w:tcW w:w="62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material pursuant to Rule 14a-12 under the Exchange Act (17</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CFR 240.14a-12)</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c>
          <w:tcPr>
            <w:tcW w:w="19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Pre-commencement</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communications</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14d-2(b)</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Act (17 CFR</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240.14d-2(b))</w:t>
            </w: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c>
          <w:tcPr>
            <w:tcW w:w="19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Pre-commencement</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communications</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13e-4(c)</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(17</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CFR</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240.13e-4(c))</w:t>
            </w: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October 4, 2006, Zumiez Inc. issued a press release (the "Press Release"), a copy of which is attached hereto as Exhibit 99.1 and the contents of which are incorporated herein by this reference.</w:t>
      </w:r>
    </w:p>
    <w:p>
      <w:pPr>
        <w:spacing w:after="0" w:line="209"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General Instruction B.2. of Form 8-K, the information contained in the Press Release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a filing. This report will not be deemed a determination or an admission as to the materiality of any information in the report that is required to be disclosed solely by Regulation FD.</w:t>
      </w:r>
    </w:p>
    <w:p>
      <w:pPr>
        <w:spacing w:after="0" w:line="200" w:lineRule="exact"/>
        <w:rPr>
          <w:sz w:val="24"/>
          <w:szCs w:val="24"/>
          <w:color w:val="auto"/>
        </w:rPr>
      </w:pPr>
    </w:p>
    <w:p>
      <w:pPr>
        <w:spacing w:after="0" w:line="21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540" w:hanging="847"/>
        <w:spacing w:after="0"/>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Zumiez Inc., dated October 4, 2006.</w:t>
      </w:r>
    </w:p>
    <w:p>
      <w:pPr>
        <w:sectPr>
          <w:pgSz w:w="11900" w:h="16838" w:orient="portrait"/>
          <w:cols w:equalWidth="0" w:num="1">
            <w:col w:w="10219"/>
          </w:cols>
          <w:pgMar w:left="240" w:top="244" w:right="1440" w:bottom="51"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ZUMIEZ INC.</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4, 2006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 Richard M. Brooks --------------------------------------</w:t>
      </w:r>
    </w:p>
    <w:p>
      <w:pPr>
        <w:spacing w:after="0" w:line="200" w:lineRule="exact"/>
        <w:rPr>
          <w:sz w:val="20"/>
          <w:szCs w:val="20"/>
          <w:color w:val="auto"/>
        </w:rPr>
      </w:pPr>
    </w:p>
    <w:p>
      <w:pPr>
        <w:sectPr>
          <w:pgSz w:w="11900" w:h="16838" w:orient="portrait"/>
          <w:cols w:equalWidth="0" w:num="3">
            <w:col w:w="3080" w:space="720"/>
            <w:col w:w="320" w:space="320"/>
            <w:col w:w="5779"/>
          </w:cols>
          <w:pgMar w:left="240" w:top="339" w:right="1440" w:bottom="1440" w:gutter="0" w:footer="0" w:header="0"/>
          <w:type w:val="continuous"/>
        </w:sectPr>
      </w:pP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Richard M. Brooks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10219"/>
          </w:cols>
          <w:pgMar w:left="240" w:top="33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Zumiez Inc. Reports September 2006 Sales Results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Net Sales Increased 47.3% to $28.7 Million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September 2006 Comparable Store Sales Increased 14.9%</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EVERETT, Wash.--(BUSINESS WIRE)--Oct. 4, 2006--Zumiez Inc. (NASDAQ: ZUMZ) a leading specialty retailer of action sports related apparel, footwear, equipment and accessories, today announced that total net sales for the five-week period ended September 30, 2006 increased 47.3% to $28.7 million, compared to $19.5 million for the five-week period ended October 1, 2005. The company's comparable store sales increased 14.9% for the five-week period, versus a comparable store sales increase of 10.1% in the year ago period.</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To hear the Zumiez prerecorded September sales message, please dial (877) 519-4471 or (973) 341-3080, followed by the conference identification number #6130350.</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Zumiez Inc.</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Zumiez is a leading specialty retailer of action sports related apparel, footwear, equipment and accessories. Our stores cater to young men and women between ages 12-24, focusing on skateboarding, surfing, snowboarding, motocross and BMX. We currently operate 230 stores, which are primarily located in shopping malls and our web site address is www.zumiez.com.</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Zumiez Inc.</w:t>
      </w:r>
    </w:p>
    <w:p>
      <w:pPr>
        <w:ind w:left="1480"/>
        <w:spacing w:after="0" w:line="238" w:lineRule="auto"/>
        <w:rPr>
          <w:sz w:val="20"/>
          <w:szCs w:val="20"/>
          <w:color w:val="auto"/>
        </w:rPr>
      </w:pPr>
      <w:r>
        <w:rPr>
          <w:rFonts w:ascii="Courier New" w:cs="Courier New" w:eastAsia="Courier New" w:hAnsi="Courier New"/>
          <w:sz w:val="18"/>
          <w:szCs w:val="18"/>
          <w:color w:val="auto"/>
        </w:rPr>
        <w:t>Brenda Morris, 425-551-1564</w:t>
      </w:r>
    </w:p>
    <w:p>
      <w:pPr>
        <w:ind w:left="1480"/>
        <w:spacing w:after="0"/>
        <w:rPr>
          <w:sz w:val="20"/>
          <w:szCs w:val="20"/>
          <w:color w:val="auto"/>
        </w:rPr>
      </w:pPr>
      <w:r>
        <w:rPr>
          <w:rFonts w:ascii="Courier New" w:cs="Courier New" w:eastAsia="Courier New" w:hAnsi="Courier New"/>
          <w:sz w:val="18"/>
          <w:szCs w:val="18"/>
          <w:color w:val="auto"/>
        </w:rPr>
        <w:t>or</w:t>
      </w:r>
    </w:p>
    <w:p>
      <w:pPr>
        <w:ind w:left="1480"/>
        <w:spacing w:after="0" w:line="237" w:lineRule="auto"/>
        <w:rPr>
          <w:sz w:val="20"/>
          <w:szCs w:val="20"/>
          <w:color w:val="auto"/>
        </w:rPr>
      </w:pPr>
      <w:r>
        <w:rPr>
          <w:rFonts w:ascii="Courier New" w:cs="Courier New" w:eastAsia="Courier New" w:hAnsi="Courier New"/>
          <w:sz w:val="18"/>
          <w:szCs w:val="18"/>
          <w:color w:val="auto"/>
        </w:rPr>
        <w:t>Integrated Corporate Relations</w:t>
      </w:r>
    </w:p>
    <w:p>
      <w:pPr>
        <w:ind w:left="1480"/>
        <w:spacing w:after="0" w:line="238" w:lineRule="auto"/>
        <w:rPr>
          <w:sz w:val="20"/>
          <w:szCs w:val="20"/>
          <w:color w:val="auto"/>
        </w:rPr>
      </w:pPr>
      <w:r>
        <w:rPr>
          <w:rFonts w:ascii="Courier New" w:cs="Courier New" w:eastAsia="Courier New" w:hAnsi="Courier New"/>
          <w:sz w:val="18"/>
          <w:szCs w:val="18"/>
          <w:color w:val="auto"/>
        </w:rPr>
        <w:t>Investors:</w:t>
      </w:r>
    </w:p>
    <w:p>
      <w:pPr>
        <w:ind w:left="1480"/>
        <w:spacing w:after="0"/>
        <w:rPr>
          <w:sz w:val="20"/>
          <w:szCs w:val="20"/>
          <w:color w:val="auto"/>
        </w:rPr>
      </w:pPr>
      <w:r>
        <w:rPr>
          <w:rFonts w:ascii="Courier New" w:cs="Courier New" w:eastAsia="Courier New" w:hAnsi="Courier New"/>
          <w:sz w:val="18"/>
          <w:szCs w:val="18"/>
          <w:color w:val="auto"/>
        </w:rPr>
        <w:t>Chad Jacobs/David Griffith, 203-682-8200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42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2019-12-15T09:11:37Z</dcterms:created>
  <dcterms:modified xsi:type="dcterms:W3CDTF">2019-12-15T09:11:37Z</dcterms:modified>
</cp:coreProperties>
</file>