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1026.htm"/>
      <w:bookmarkStart w:id="1" w:name="ksf8k_091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10, 2026</w:t>
      </w:r>
    </w:p>
    <w:p>
      <w:pPr>
        <w:pStyle w:val="TextBody"/>
        <w:bidi w:val="0"/>
        <w:jc w:val="center"/>
        <w:rPr/>
      </w:pPr>
      <w:r>
        <w:rPr/>
        <w:t>_______________________________</w:t>
      </w:r>
    </w:p>
    <w:p>
      <w:pPr>
        <w:pStyle w:val="TextBody"/>
        <w:bidi w:val="0"/>
        <w:spacing w:before="120" w:after="283"/>
        <w:jc w:val="center"/>
        <w:rPr>
          <w:b/>
          <w:sz w:val="24"/>
        </w:rPr>
      </w:pPr>
      <w:r>
        <w:rPr>
          <w:b/>
          <w:sz w:val="24"/>
        </w:rPr>
        <w:t>Zumiez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Washington</w:t>
            </w:r>
          </w:p>
        </w:tc>
        <w:tc>
          <w:tcPr>
            <w:tcW w:w="2210" w:type="dxa"/>
            <w:tcBorders/>
            <w:vAlign w:val="center"/>
          </w:tcPr>
          <w:p>
            <w:pPr>
              <w:pStyle w:val="TableContents"/>
              <w:bidi w:val="0"/>
              <w:spacing w:before="0" w:after="283"/>
              <w:jc w:val="center"/>
              <w:rPr>
                <w:b/>
                <w:sz w:val="20"/>
              </w:rPr>
            </w:pPr>
            <w:r>
              <w:rPr>
                <w:b/>
                <w:sz w:val="20"/>
              </w:rPr>
              <w:t>000-51300</w:t>
            </w:r>
          </w:p>
        </w:tc>
        <w:tc>
          <w:tcPr>
            <w:tcW w:w="2900" w:type="dxa"/>
            <w:tcBorders/>
            <w:vAlign w:val="center"/>
          </w:tcPr>
          <w:p>
            <w:pPr>
              <w:pStyle w:val="TableContents"/>
              <w:bidi w:val="0"/>
              <w:spacing w:before="0" w:after="283"/>
              <w:jc w:val="center"/>
              <w:rPr>
                <w:b/>
                <w:sz w:val="20"/>
              </w:rPr>
            </w:pPr>
            <w:r>
              <w:rPr>
                <w:b/>
                <w:sz w:val="20"/>
              </w:rPr>
              <w:t>91-1040022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4001 204th Street SW</w:t>
      </w:r>
    </w:p>
    <w:p>
      <w:pPr>
        <w:pStyle w:val="TextBody"/>
        <w:bidi w:val="0"/>
        <w:spacing w:before="0" w:after="0"/>
        <w:jc w:val="center"/>
        <w:rPr>
          <w:b/>
          <w:sz w:val="20"/>
        </w:rPr>
      </w:pPr>
      <w:r>
        <w:rPr>
          <w:b/>
          <w:sz w:val="20"/>
        </w:rPr>
        <w:t>Lynnwood, Washington 98036</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(425) 551-1500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Stock</w:t>
            </w:r>
          </w:p>
        </w:tc>
        <w:tc>
          <w:tcPr>
            <w:tcW w:w="1535" w:type="dxa"/>
            <w:tcBorders/>
            <w:tcMar>
              <w:bottom w:w="0" w:type="dxa"/>
            </w:tcMar>
            <w:vAlign w:val="center"/>
          </w:tcPr>
          <w:p>
            <w:pPr>
              <w:pStyle w:val="TableContents"/>
              <w:bidi w:val="0"/>
              <w:spacing w:before="0" w:after="283"/>
              <w:jc w:val="center"/>
              <w:rPr>
                <w:sz w:val="20"/>
              </w:rPr>
            </w:pPr>
            <w:r>
              <w:rPr>
                <w:sz w:val="20"/>
              </w:rPr>
              <w:t>ZUMZ</w:t>
            </w:r>
          </w:p>
        </w:tc>
        <w:tc>
          <w:tcPr>
            <w:tcW w:w="3575" w:type="dxa"/>
            <w:tcBorders/>
            <w:tcMar>
              <w:bottom w:w="0" w:type="dxa"/>
            </w:tcMar>
            <w:vAlign w:val="center"/>
          </w:tcPr>
          <w:p>
            <w:pPr>
              <w:pStyle w:val="TableContents"/>
              <w:bidi w:val="0"/>
              <w:spacing w:before="0" w:after="283"/>
              <w:jc w:val="center"/>
              <w:rPr>
                <w:sz w:val="20"/>
              </w:rPr>
            </w:pPr>
            <w:r>
              <w:rPr>
                <w:sz w:val="20"/>
              </w:rPr>
              <w:t>Nasdaq Global Select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jc w:val="left"/>
        <w:rPr>
          <w:sz w:val="20"/>
        </w:rPr>
      </w:pPr>
      <w:r>
        <w:rPr>
          <w:sz w:val="20"/>
        </w:rPr>
        <w:t>On September 10, 2026, the Registrant issued a press release, a copy of which is attached hereto as Exhibit 99.1 and is incorporated herein by reference.</w:t>
      </w:r>
    </w:p>
    <w:p>
      <w:pPr>
        <w:pStyle w:val="TextBody"/>
        <w:bidi w:val="0"/>
        <w:jc w:val="left"/>
        <w:rPr>
          <w:sz w:val="20"/>
        </w:rPr>
      </w:pPr>
      <w:r>
        <w:rPr>
          <w:sz w:val="20"/>
        </w:rPr>
        <w:t>In accordance with General Instruction B.2. of Form 8-K, the information contained in this report and the Press Release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September 10,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650" w:type="dxa"/>
        <w:jc w:val="left"/>
        <w:tblInd w:w="0" w:type="dxa"/>
        <w:tblLayout w:type="fixed"/>
        <w:tblCellMar>
          <w:top w:w="0" w:type="dxa"/>
          <w:left w:w="0" w:type="dxa"/>
          <w:bottom w:w="0" w:type="dxa"/>
          <w:right w:w="0" w:type="dxa"/>
        </w:tblCellMar>
      </w:tblPr>
      <w:tblGrid>
        <w:gridCol w:w="2120"/>
        <w:gridCol w:w="365"/>
        <w:gridCol w:w="2165"/>
      </w:tblGrid>
      <w:tr>
        <w:trPr/>
        <w:tc>
          <w:tcPr>
            <w:tcW w:w="212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b/>
                <w:sz w:val="20"/>
              </w:rPr>
            </w:pPr>
            <w:r>
              <w:rPr>
                <w:b/>
                <w:sz w:val="20"/>
              </w:rPr>
              <w:t>Zumiez Inc.</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10, 2026</w:t>
            </w:r>
          </w:p>
        </w:tc>
        <w:tc>
          <w:tcPr>
            <w:tcW w:w="365" w:type="dxa"/>
            <w:tcBorders/>
            <w:vAlign w:val="center"/>
          </w:tcPr>
          <w:p>
            <w:pPr>
              <w:pStyle w:val="TableContents"/>
              <w:bidi w:val="0"/>
              <w:spacing w:before="0" w:after="283"/>
              <w:jc w:val="left"/>
              <w:rPr>
                <w:sz w:val="20"/>
              </w:rPr>
            </w:pPr>
            <w:r>
              <w:rPr>
                <w:sz w:val="20"/>
              </w:rPr>
              <w:t>By: </w:t>
            </w:r>
          </w:p>
        </w:tc>
        <w:tc>
          <w:tcPr>
            <w:tcW w:w="2165" w:type="dxa"/>
            <w:tcBorders/>
            <w:vAlign w:val="center"/>
          </w:tcPr>
          <w:p>
            <w:pPr>
              <w:pStyle w:val="TableContents"/>
              <w:bidi w:val="0"/>
              <w:spacing w:before="0" w:after="283"/>
              <w:jc w:val="left"/>
              <w:rPr>
                <w:sz w:val="20"/>
                <w:u w:val="single"/>
              </w:rPr>
            </w:pPr>
            <w:r>
              <w:rPr>
                <w:sz w:val="20"/>
                <w:u w:val="single"/>
              </w:rPr>
              <w:t>/s/ Richard M. Brooks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Richard M. Brooks</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20"/>
              </w:rPr>
            </w:pPr>
            <w:r>
              <w:rPr>
                <w:sz w:val="20"/>
              </w:rPr>
              <w:t>Chief Executive Officer</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Zumiez Inc. Announces Fiscal 2026 Second Quarter Results</w:t>
      </w:r>
    </w:p>
    <w:p>
      <w:pPr>
        <w:pStyle w:val="TextBody"/>
        <w:bidi w:val="0"/>
        <w:spacing w:before="0" w:after="283"/>
        <w:jc w:val="left"/>
        <w:rPr/>
      </w:pPr>
      <w:r>
        <w:rPr/>
        <w:t>LYNNWOOD, Wash., Sept. 10, 2026 (GLOBE NEWSWIRE) -- Zumiez Inc. (NASDAQ: ZUMZ) a leading specialty retailer of apparel, footwear, equipment and accessories for young men and women, today reported results for the second quarter ended August 1, 2026.</w:t>
      </w:r>
    </w:p>
    <w:p>
      <w:pPr>
        <w:pStyle w:val="TextBody"/>
        <w:bidi w:val="0"/>
        <w:spacing w:before="0" w:after="283"/>
        <w:jc w:val="left"/>
        <w:rPr/>
      </w:pPr>
      <w:r>
        <w:rPr/>
        <w:t>Net sales for the second quarter ended August 1, 2026 (13 weeks) decreased 2.5% to $209.0 million from $214.3 million in the second quarter ended August 2, 2025 (13 weeks).   Comparable sales for the thirteen weeks ended August 1, 2026, decreased 2.1%. Net loss in the second quarter of fiscal 2026 was $2.7 million, or $0.17 per share, compared to a net loss of $1.0 million, or $0.06 per share, in the second quarter of the prior fiscal year.</w:t>
      </w:r>
    </w:p>
    <w:p>
      <w:pPr>
        <w:pStyle w:val="TextBody"/>
        <w:bidi w:val="0"/>
        <w:spacing w:before="0" w:after="283"/>
        <w:jc w:val="left"/>
        <w:rPr/>
      </w:pPr>
      <w:r>
        <w:rPr/>
        <w:t>Total net sales for the six months (26 weeks) ending August 1, 2026 increased 0.9% to $402.3 million from $398.6 million reported for the six months (26 weeks) ending August 2, 2025.   Comparable sales increased 0.7% for the twenty-six weeks ended August 1, 2026. Net loss for the first six months of fiscal 2026 was $16.0 million, or $1.00 per share, compared to a net loss for the first six months of fiscal 2025 of $15.3 million, or $0.88 per share.</w:t>
      </w:r>
    </w:p>
    <w:p>
      <w:pPr>
        <w:pStyle w:val="TextBody"/>
        <w:bidi w:val="0"/>
        <w:spacing w:before="0" w:after="283"/>
        <w:jc w:val="left"/>
        <w:rPr/>
      </w:pPr>
      <w:r>
        <w:rPr/>
        <w:t>On August 1, 2026, the Company had cash and current marketable securities of $97.3 million compared to cash and current marketable securities of $106.7 million on August 2, 2025. The decrease was primarily driven by $34.5 million related to share repurchases and $10.6 million of capital expenditures partially offset by $35.7 million of cash flow from operations. The Company repurchased 1.2 million shares during the second quarter of 2026 at an average cost including commission of $19.30 per share and a total cost of $23.2 million. Fiscal year-to-date through August 1, 2026, the Company has repurchased 1.5 million shares at an average cost including commission of $20.07 per share and a total cost of $29.5 million.</w:t>
      </w:r>
    </w:p>
    <w:p>
      <w:pPr>
        <w:pStyle w:val="TextBody"/>
        <w:bidi w:val="0"/>
        <w:spacing w:before="0" w:after="283"/>
        <w:jc w:val="left"/>
        <w:rPr/>
      </w:pPr>
      <w:r>
        <w:rPr/>
        <w:t>"Second quarter results came in below last year driven by weaker performance in the U.S., which was primarily driven by continued softness in footwear as well as lower traffic levels," said Rick Brooks, Chief Executive Officer of Zumiez Inc. "The decline in the U.S. business was partially offset by continued growth across our other regions, underscoring the strength and diversification of our global business. Our back-to-school trend was similar to our second quarter results with the U.S. being our toughest performing market after two years of low double digit comparable store sales growth for the same periods, partially offset by comparable sales gains internationally. As we look forward to the holiday season, we remain focused on refining our merchandise assortments and deepening our customer experience initiatives to improve the trajectory."</w:t>
      </w:r>
    </w:p>
    <w:p>
      <w:pPr>
        <w:pStyle w:val="TextBody"/>
        <w:bidi w:val="0"/>
        <w:jc w:val="left"/>
        <w:rPr>
          <w:u w:val="single"/>
        </w:rPr>
      </w:pPr>
      <w:r>
        <w:rPr>
          <w:u w:val="single"/>
        </w:rPr>
        <w:t>Third Quarter To-Date</w:t>
      </w:r>
    </w:p>
    <w:p>
      <w:pPr>
        <w:pStyle w:val="TextBody"/>
        <w:bidi w:val="0"/>
        <w:spacing w:before="0" w:after="283"/>
        <w:jc w:val="left"/>
        <w:rPr/>
      </w:pPr>
      <w:r>
        <w:rPr/>
        <w:t>Third quarter-to-date net sales for the 37 days ending September 7, 2026, decreased 4.3%, compared with the 37-day period in the prior year ending September 8, 2025. Comparable sales over the same period are down 3.5%.</w:t>
      </w:r>
    </w:p>
    <w:p>
      <w:pPr>
        <w:pStyle w:val="TextBody"/>
        <w:bidi w:val="0"/>
        <w:jc w:val="left"/>
        <w:rPr>
          <w:u w:val="single"/>
        </w:rPr>
      </w:pPr>
      <w:r>
        <w:rPr>
          <w:u w:val="single"/>
        </w:rPr>
        <w:t>Fiscal 2026 Third Quarter Outlook</w:t>
      </w:r>
    </w:p>
    <w:p>
      <w:pPr>
        <w:pStyle w:val="TextBody"/>
        <w:bidi w:val="0"/>
        <w:spacing w:before="0" w:after="283"/>
        <w:jc w:val="left"/>
        <w:rPr/>
      </w:pPr>
      <w:r>
        <w:rPr/>
        <w:t>The Company is introducing guidance for the three months ending October 31, 2026. Net sales are projected to be in the range of $222 to $226 million. Earnings per share are expected to be between $0.00 and $0.10.</w:t>
      </w:r>
    </w:p>
    <w:p>
      <w:pPr>
        <w:pStyle w:val="TextBody"/>
        <w:bidi w:val="0"/>
        <w:spacing w:before="0" w:after="283"/>
        <w:jc w:val="left"/>
        <w:rPr/>
      </w:pPr>
      <w:r>
        <w:rPr/>
        <w:t>In fiscal 2026 the Company currently intends to open approximately 5 new stores all located in North America and close roughly 16 stores, including 10 in North America and 6 internationally.</w:t>
      </w:r>
    </w:p>
    <w:p>
      <w:pPr>
        <w:pStyle w:val="TextBody"/>
        <w:bidi w:val="0"/>
        <w:jc w:val="left"/>
        <w:rPr>
          <w:u w:val="single"/>
        </w:rPr>
      </w:pPr>
      <w:r>
        <w:rPr>
          <w:u w:val="single"/>
        </w:rPr>
        <w:t>Conference call Information</w:t>
      </w:r>
    </w:p>
    <w:p>
      <w:pPr>
        <w:pStyle w:val="TextBody"/>
        <w:bidi w:val="0"/>
        <w:spacing w:before="0" w:after="283"/>
        <w:jc w:val="left"/>
        <w:rPr/>
      </w:pPr>
      <w:r>
        <w:rPr/>
        <w:t>To access the conference call, please pre-register using this link (</w:t>
      </w:r>
      <w:r>
        <w:rPr>
          <w:rStyle w:val="StrongEmphasis"/>
        </w:rPr>
        <w:t>Registration Link</w:t>
      </w:r>
      <w:r>
        <w:rPr/>
        <w:t>)</w:t>
      </w:r>
      <w:r>
        <w:rPr>
          <w:rStyle w:val="StrongEmphasis"/>
        </w:rPr>
        <w:t>.</w:t>
      </w:r>
      <w:r>
        <w:rPr/>
        <w:t xml:space="preserve"> Registrants will receive confirmation with dial-in details. The conference call will also be available to interested parties through a live webcast at https://ir.zumiez.com. To avoid delays, we encourage participants to dial into the conference call fifteen minutes ahead of the scheduled start time. A replay of the webcast will also be available for a limited time at https://ir.zumiez.com.</w:t>
      </w:r>
    </w:p>
    <w:p>
      <w:pPr>
        <w:pStyle w:val="TextBody"/>
        <w:bidi w:val="0"/>
        <w:spacing w:before="0" w:after="283"/>
        <w:jc w:val="left"/>
        <w:rPr/>
      </w:pPr>
      <w:r>
        <w:rPr>
          <w:rStyle w:val="StrongEmphasis"/>
          <w:u w:val="single"/>
        </w:rPr>
        <w:t>About Zumiez Inc.</w:t>
      </w:r>
    </w:p>
    <w:p>
      <w:pPr>
        <w:pStyle w:val="TextBody"/>
        <w:bidi w:val="0"/>
        <w:spacing w:before="0" w:after="283"/>
        <w:jc w:val="left"/>
        <w:rPr/>
      </w:pPr>
      <w:r>
        <w:rPr/>
        <w:t>Zumiez is a leading specialty retailer of apparel, footwear, accessories and hardgoods for young men and women who want to express their individuality through the fashion, music, art and culture of action sports, streetwear, and other unique lifestyles. As of August 29, 2026, we operated 714 stores, including 561 in the United States, 45 in Canada, 81 in Europe and 27 in Australia. We operate under the names Zumiez, Blue Tomato and Fast Times. Additionally, we operate ecommerce web sites at zumiez.com, zumiez.ca, blue-tomato.com and fasttimes.com.au.</w:t>
      </w:r>
    </w:p>
    <w:p>
      <w:pPr>
        <w:pStyle w:val="TextBody"/>
        <w:bidi w:val="0"/>
        <w:spacing w:before="0" w:after="283"/>
        <w:jc w:val="left"/>
        <w:rPr/>
      </w:pPr>
      <w:r>
        <w:rPr>
          <w:rStyle w:val="StrongEmphasis"/>
          <w:u w:val="single"/>
        </w:rPr>
        <w:t>Safe Harbor Statement</w:t>
      </w:r>
    </w:p>
    <w:p>
      <w:pPr>
        <w:pStyle w:val="TextBody"/>
        <w:bidi w:val="0"/>
        <w:spacing w:before="0" w:after="283"/>
        <w:jc w:val="left"/>
        <w:rPr/>
      </w:pPr>
      <w:r>
        <w:rPr/>
        <w:t>Certain statements in this press release and oral statements relating thereto made from time to time by representatives of the Company may constitute forward-looking statements for purposes of the safe harbor provisions under the Private Securities Litigation Reform Act of 1995. These statements include, without limitation, predictions and guidance relating to the Company's future financial performance, brand and product category diversity, ability to adjust product mix, integration of acquired businesses, growing customer demand for our products and new store openings. In some cases, you can identify forward-looking statements by terminology such as, "may," "should," "expects," "plans," "anticipates," "believes," "estimates," "predicts," "potential," "continue," or the negative of these terms or other comparable terminology. These forward-looking statements are based on management's current expectations, but they involve a number of risks and uncertainties. Actual results and the timing of events could differ materially from those anticipated in the forward-looking statements as a result of risks and uncertainties, which include, without limitation, those described in the Company’s annual report on Form 10-K for the fiscal year ended February 1, 2025 as filed with the Securities and Exchange Commission and available at www.sec.gov. You are urged to consider these factors carefully in evaluating the forward-looking statements herein and are cautioned not to place undue reliance on such forward-looking statements, which are qualified in their entirety by this cautionary statement. The forward-looking statements speak only as of the date on which they are made, and the Company undertakes no obligation to publicly update such forward-looking statements to reflect subsequent events or circumstances.</w:t>
      </w:r>
    </w:p>
    <w:tbl>
      <w:tblPr>
        <w:tblW w:w="10205" w:type="dxa"/>
        <w:jc w:val="left"/>
        <w:tblInd w:w="0" w:type="dxa"/>
        <w:tblLayout w:type="fixed"/>
        <w:tblCellMar>
          <w:top w:w="28" w:type="dxa"/>
          <w:left w:w="28" w:type="dxa"/>
          <w:bottom w:w="28" w:type="dxa"/>
          <w:right w:w="28" w:type="dxa"/>
        </w:tblCellMar>
      </w:tblPr>
      <w:tblGrid>
        <w:gridCol w:w="4439"/>
        <w:gridCol w:w="146"/>
        <w:gridCol w:w="260"/>
        <w:gridCol w:w="1020"/>
        <w:gridCol w:w="207"/>
        <w:gridCol w:w="146"/>
        <w:gridCol w:w="736"/>
        <w:gridCol w:w="343"/>
        <w:gridCol w:w="146"/>
        <w:gridCol w:w="260"/>
        <w:gridCol w:w="1020"/>
        <w:gridCol w:w="207"/>
        <w:gridCol w:w="146"/>
        <w:gridCol w:w="732"/>
        <w:gridCol w:w="397"/>
      </w:tblGrid>
      <w:tr>
        <w:trPr/>
        <w:tc>
          <w:tcPr>
            <w:tcW w:w="10205" w:type="dxa"/>
            <w:gridSpan w:val="15"/>
            <w:tcBorders/>
            <w:vAlign w:val="center"/>
          </w:tcPr>
          <w:p>
            <w:pPr>
              <w:pStyle w:val="TableContents"/>
              <w:bidi w:val="0"/>
              <w:spacing w:before="0" w:after="283"/>
              <w:jc w:val="left"/>
              <w:rPr/>
            </w:pPr>
            <w:r>
              <w:rPr/>
              <w:t> </w:t>
            </w:r>
          </w:p>
        </w:tc>
      </w:tr>
      <w:tr>
        <w:trPr/>
        <w:tc>
          <w:tcPr>
            <w:tcW w:w="10205" w:type="dxa"/>
            <w:gridSpan w:val="15"/>
            <w:tcBorders/>
            <w:vAlign w:val="center"/>
          </w:tcPr>
          <w:p>
            <w:pPr>
              <w:pStyle w:val="TableContents"/>
              <w:bidi w:val="0"/>
              <w:spacing w:before="0" w:after="283"/>
              <w:jc w:val="center"/>
              <w:rPr/>
            </w:pPr>
            <w:r>
              <w:rPr>
                <w:rStyle w:val="StrongEmphasis"/>
              </w:rPr>
              <w:t>ZUMIEZ INC.</w:t>
              <w:br/>
              <w:t>CONDENSED CONSOLIDATED STATEMENTS OF LOSS</w:t>
              <w:br/>
              <w:t>(In thousands, except per share amounts)</w:t>
              <w:br/>
              <w:t>(Unaudited)</w:t>
            </w:r>
          </w:p>
        </w:tc>
      </w:tr>
      <w:tr>
        <w:trPr/>
        <w:tc>
          <w:tcPr>
            <w:tcW w:w="44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20" w:type="dxa"/>
            <w:gridSpan w:val="13"/>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5620" w:type="dxa"/>
            <w:gridSpan w:val="1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p>
        </w:tc>
      </w:tr>
      <w:tr>
        <w:trPr/>
        <w:tc>
          <w:tcPr>
            <w:tcW w:w="443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1, 2026</w:t>
            </w:r>
          </w:p>
        </w:tc>
        <w:tc>
          <w:tcPr>
            <w:tcW w:w="146" w:type="dxa"/>
            <w:tcBorders/>
            <w:vAlign w:val="center"/>
          </w:tcPr>
          <w:p>
            <w:pPr>
              <w:pStyle w:val="TableContents"/>
              <w:bidi w:val="0"/>
              <w:spacing w:before="0" w:after="283"/>
              <w:jc w:val="left"/>
              <w:rPr/>
            </w:pPr>
            <w:r>
              <w:rPr/>
              <w:t> </w:t>
            </w:r>
          </w:p>
        </w:tc>
        <w:tc>
          <w:tcPr>
            <w:tcW w:w="10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c>
          <w:tcPr>
            <w:tcW w:w="146" w:type="dxa"/>
            <w:tcBorders/>
            <w:vAlign w:val="center"/>
          </w:tcPr>
          <w:p>
            <w:pPr>
              <w:pStyle w:val="TableContents"/>
              <w:bidi w:val="0"/>
              <w:spacing w:before="0" w:after="283"/>
              <w:jc w:val="left"/>
              <w:rPr/>
            </w:pPr>
            <w:r>
              <w:rPr/>
              <w:t> </w:t>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2025</w:t>
            </w:r>
          </w:p>
        </w:tc>
        <w:tc>
          <w:tcPr>
            <w:tcW w:w="146"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r>
      <w:tr>
        <w:trPr/>
        <w:tc>
          <w:tcPr>
            <w:tcW w:w="4439"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208,964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100.0</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214,275</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100.0</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135,113</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64.7</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138,257</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64.5</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Gross profit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73,851</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35.3</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76,018</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35.5</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75,175</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35.9</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75,911</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35.4</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Operating loss (profit)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(1,324</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-0.6</w:t>
            </w:r>
          </w:p>
        </w:tc>
        <w:tc>
          <w:tcPr>
            <w:tcW w:w="34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107</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0.1</w:t>
            </w:r>
          </w:p>
        </w:tc>
        <w:tc>
          <w:tcPr>
            <w:tcW w:w="3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Interest income, net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645</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0.3</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753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0.3</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Other expense (income), net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(753</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-0.4</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0.0</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Loss (profit), before income taxes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(1,432</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-0.7</w:t>
            </w:r>
          </w:p>
        </w:tc>
        <w:tc>
          <w:tcPr>
            <w:tcW w:w="34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912</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0.4</w:t>
            </w:r>
          </w:p>
        </w:tc>
        <w:tc>
          <w:tcPr>
            <w:tcW w:w="3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1,311</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0.6</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1,914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0.9</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Net loss</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(2,743</w:t>
            </w:r>
          </w:p>
        </w:tc>
        <w:tc>
          <w:tcPr>
            <w:tcW w:w="2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w:t>
            </w:r>
          </w:p>
        </w:tc>
        <w:tc>
          <w:tcPr>
            <w:tcW w:w="34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(1,002</w:t>
            </w:r>
          </w:p>
        </w:tc>
        <w:tc>
          <w:tcPr>
            <w:tcW w:w="2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-0.5</w:t>
            </w:r>
          </w:p>
        </w:tc>
        <w:tc>
          <w:tcPr>
            <w:tcW w:w="39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Basic loss per share</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(0.17</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(0.06</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Diluted loss per share</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(0.17</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(0.06</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Weighted average shares used in computation of earnings per share</w:t>
            </w:r>
          </w:p>
        </w:tc>
        <w:tc>
          <w:tcPr>
            <w:tcW w:w="146" w:type="dxa"/>
            <w:tcBorders/>
            <w:vAlign w:val="center"/>
          </w:tcPr>
          <w:p>
            <w:pPr>
              <w:pStyle w:val="TableContents"/>
              <w:bidi w:val="0"/>
              <w:spacing w:before="0" w:after="283"/>
              <w:jc w:val="left"/>
              <w:rPr/>
            </w:pPr>
            <w:r>
              <w:rPr/>
              <w:t> </w:t>
            </w:r>
          </w:p>
        </w:tc>
        <w:tc>
          <w:tcPr>
            <w:tcW w:w="148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15,708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16,698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15,708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16,698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5620" w:type="dxa"/>
            <w:gridSpan w:val="1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p>
        </w:tc>
      </w:tr>
      <w:tr>
        <w:trPr/>
        <w:tc>
          <w:tcPr>
            <w:tcW w:w="443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1, 2026</w:t>
            </w:r>
          </w:p>
        </w:tc>
        <w:tc>
          <w:tcPr>
            <w:tcW w:w="146" w:type="dxa"/>
            <w:tcBorders/>
            <w:vAlign w:val="center"/>
          </w:tcPr>
          <w:p>
            <w:pPr>
              <w:pStyle w:val="TableContents"/>
              <w:bidi w:val="0"/>
              <w:spacing w:before="0" w:after="283"/>
              <w:jc w:val="left"/>
              <w:rPr/>
            </w:pPr>
            <w:r>
              <w:rPr/>
              <w:t> </w:t>
            </w:r>
          </w:p>
        </w:tc>
        <w:tc>
          <w:tcPr>
            <w:tcW w:w="107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c>
          <w:tcPr>
            <w:tcW w:w="146" w:type="dxa"/>
            <w:tcBorders/>
            <w:vAlign w:val="center"/>
          </w:tcPr>
          <w:p>
            <w:pPr>
              <w:pStyle w:val="TableContents"/>
              <w:bidi w:val="0"/>
              <w:spacing w:before="0" w:after="283"/>
              <w:jc w:val="left"/>
              <w:rPr/>
            </w:pPr>
            <w:r>
              <w:rPr/>
              <w:t> </w:t>
            </w:r>
          </w:p>
        </w:tc>
        <w:tc>
          <w:tcPr>
            <w:tcW w:w="148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2025</w:t>
            </w:r>
          </w:p>
        </w:tc>
        <w:tc>
          <w:tcPr>
            <w:tcW w:w="146"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Sales</w:t>
            </w:r>
          </w:p>
        </w:tc>
      </w:tr>
      <w:tr>
        <w:trPr/>
        <w:tc>
          <w:tcPr>
            <w:tcW w:w="4439" w:type="dxa"/>
            <w:tcBorders/>
            <w:vAlign w:val="center"/>
          </w:tcPr>
          <w:p>
            <w:pPr>
              <w:pStyle w:val="TableContents"/>
              <w:bidi w:val="0"/>
              <w:spacing w:before="0" w:after="283"/>
              <w:jc w:val="left"/>
              <w:rPr/>
            </w:pPr>
            <w:r>
              <w:rPr/>
              <w:t>Net sales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402,313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100.0</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398,618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100.0</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Cost of goods sold</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267,119</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66.4</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267,285</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67.1</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Gross profit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135,194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33.6</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131,333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32.9</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151,710</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37.7</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151,098</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37.9</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Operating loss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(16,516</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-4.1</w:t>
            </w:r>
          </w:p>
        </w:tc>
        <w:tc>
          <w:tcPr>
            <w:tcW w:w="34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(19,765</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-5.0</w:t>
            </w:r>
          </w:p>
        </w:tc>
        <w:tc>
          <w:tcPr>
            <w:tcW w:w="3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Interest income, net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1,494</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0.4</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3,008</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0.8</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Other expense (income), net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(865</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-0.2</w:t>
            </w:r>
          </w:p>
        </w:tc>
        <w:tc>
          <w:tcPr>
            <w:tcW w:w="343"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1,895</w:t>
            </w:r>
          </w:p>
        </w:tc>
        <w:tc>
          <w:tcPr>
            <w:tcW w:w="20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0.5</w:t>
            </w:r>
          </w:p>
        </w:tc>
        <w:tc>
          <w:tcPr>
            <w:tcW w:w="397" w:type="dxa"/>
            <w:tcBorders/>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Loss, before income taxes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(15,887</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-3.9</w:t>
            </w:r>
          </w:p>
        </w:tc>
        <w:tc>
          <w:tcPr>
            <w:tcW w:w="34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(14,862</w:t>
            </w:r>
          </w:p>
        </w:tc>
        <w:tc>
          <w:tcPr>
            <w:tcW w:w="20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w:t>
            </w:r>
          </w:p>
        </w:tc>
        <w:tc>
          <w:tcPr>
            <w:tcW w:w="39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122</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0.1</w:t>
            </w:r>
          </w:p>
        </w:tc>
        <w:tc>
          <w:tcPr>
            <w:tcW w:w="3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471</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0.1</w:t>
            </w:r>
          </w:p>
        </w:tc>
        <w:tc>
          <w:tcPr>
            <w:tcW w:w="3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rStyle w:val="StrongEmphasis"/>
              </w:rPr>
              <w:t>Net loss</w:t>
            </w:r>
          </w:p>
        </w:tc>
        <w:tc>
          <w:tcPr>
            <w:tcW w:w="146" w:type="dxa"/>
            <w:tcBorders/>
            <w:vAlign w:val="center"/>
          </w:tcPr>
          <w:p>
            <w:pPr>
              <w:pStyle w:val="TableContents"/>
              <w:bidi w:val="0"/>
              <w:spacing w:before="0" w:after="283"/>
              <w:jc w:val="left"/>
              <w:rPr/>
            </w:pPr>
            <w:r>
              <w:rPr/>
              <w:t> </w:t>
            </w:r>
          </w:p>
        </w:tc>
        <w:tc>
          <w:tcPr>
            <w:tcW w:w="2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(16,009</w:t>
            </w:r>
          </w:p>
        </w:tc>
        <w:tc>
          <w:tcPr>
            <w:tcW w:w="2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-4.0</w:t>
            </w:r>
          </w:p>
        </w:tc>
        <w:tc>
          <w:tcPr>
            <w:tcW w:w="343"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6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02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(15,333</w:t>
            </w:r>
          </w:p>
        </w:tc>
        <w:tc>
          <w:tcPr>
            <w:tcW w:w="20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73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-3.8</w:t>
            </w:r>
          </w:p>
        </w:tc>
        <w:tc>
          <w:tcPr>
            <w:tcW w:w="39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4439" w:type="dxa"/>
            <w:tcBorders/>
            <w:vAlign w:val="center"/>
          </w:tcPr>
          <w:p>
            <w:pPr>
              <w:pStyle w:val="TableContents"/>
              <w:bidi w:val="0"/>
              <w:spacing w:before="0" w:after="283"/>
              <w:jc w:val="left"/>
              <w:rPr/>
            </w:pPr>
            <w:r>
              <w:rPr/>
              <w:t>Basic loss per share</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(1.00</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(0.88</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Diluted loss per share</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(1.00</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02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(0.88</w:t>
            </w:r>
          </w:p>
        </w:tc>
        <w:tc>
          <w:tcPr>
            <w:tcW w:w="20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Weighted average shares used in computation of loss per share:</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15,955</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17,403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15,955</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17,403</w:t>
            </w:r>
          </w:p>
        </w:tc>
        <w:tc>
          <w:tcPr>
            <w:tcW w:w="2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r>
        <w:trPr/>
        <w:tc>
          <w:tcPr>
            <w:tcW w:w="44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5601"/>
        <w:gridCol w:w="146"/>
        <w:gridCol w:w="237"/>
        <w:gridCol w:w="930"/>
        <w:gridCol w:w="189"/>
        <w:gridCol w:w="146"/>
        <w:gridCol w:w="245"/>
        <w:gridCol w:w="962"/>
        <w:gridCol w:w="196"/>
        <w:gridCol w:w="146"/>
        <w:gridCol w:w="236"/>
        <w:gridCol w:w="928"/>
        <w:gridCol w:w="243"/>
      </w:tblGrid>
      <w:tr>
        <w:trPr/>
        <w:tc>
          <w:tcPr>
            <w:tcW w:w="10205" w:type="dxa"/>
            <w:gridSpan w:val="13"/>
            <w:tcBorders/>
            <w:vAlign w:val="center"/>
          </w:tcPr>
          <w:p>
            <w:pPr>
              <w:pStyle w:val="TableContents"/>
              <w:bidi w:val="0"/>
              <w:spacing w:before="0" w:after="283"/>
              <w:jc w:val="left"/>
              <w:rPr/>
            </w:pPr>
            <w:r>
              <w:rPr/>
              <w:t> </w:t>
            </w:r>
          </w:p>
        </w:tc>
      </w:tr>
      <w:tr>
        <w:trPr/>
        <w:tc>
          <w:tcPr>
            <w:tcW w:w="10205" w:type="dxa"/>
            <w:gridSpan w:val="13"/>
            <w:tcBorders/>
            <w:vAlign w:val="center"/>
          </w:tcPr>
          <w:p>
            <w:pPr>
              <w:pStyle w:val="TableContents"/>
              <w:bidi w:val="0"/>
              <w:spacing w:before="0" w:after="283"/>
              <w:jc w:val="center"/>
              <w:rPr/>
            </w:pPr>
            <w:r>
              <w:rPr>
                <w:rStyle w:val="StrongEmphasis"/>
              </w:rPr>
              <w:t>ZUMIEZ INC.</w:t>
            </w:r>
            <w:r>
              <w:rPr/>
              <w:br/>
            </w:r>
            <w:r>
              <w:rPr>
                <w:rStyle w:val="StrongEmphasis"/>
              </w:rPr>
              <w:t>CONDENSED CONSOLIDATED BALANCE SHEETS</w:t>
            </w:r>
            <w:r>
              <w:rPr/>
              <w:br/>
            </w:r>
            <w:r>
              <w:rPr>
                <w:rStyle w:val="StrongEmphasis"/>
              </w:rPr>
              <w:t>(In thousands)</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1, 2026</w:t>
            </w:r>
          </w:p>
        </w:tc>
        <w:tc>
          <w:tcPr>
            <w:tcW w:w="146" w:type="dxa"/>
            <w:tcBorders/>
            <w:vAlign w:val="center"/>
          </w:tcPr>
          <w:p>
            <w:pPr>
              <w:pStyle w:val="TableContents"/>
              <w:bidi w:val="0"/>
              <w:spacing w:before="0" w:after="283"/>
              <w:jc w:val="left"/>
              <w:rPr/>
            </w:pPr>
            <w:r>
              <w:rPr/>
              <w:t> </w:t>
            </w:r>
          </w:p>
        </w:tc>
        <w:tc>
          <w:tcPr>
            <w:tcW w:w="140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January 31, 2026</w:t>
            </w:r>
          </w:p>
        </w:tc>
        <w:tc>
          <w:tcPr>
            <w:tcW w:w="146" w:type="dxa"/>
            <w:tcBorders/>
            <w:vAlign w:val="center"/>
          </w:tcPr>
          <w:p>
            <w:pPr>
              <w:pStyle w:val="TableContents"/>
              <w:bidi w:val="0"/>
              <w:spacing w:before="0" w:after="283"/>
              <w:jc w:val="left"/>
              <w:rPr/>
            </w:pPr>
            <w:r>
              <w:rPr/>
              <w:t> </w:t>
            </w:r>
          </w:p>
        </w:tc>
        <w:tc>
          <w:tcPr>
            <w:tcW w:w="140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2025</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center"/>
              <w:rPr/>
            </w:pPr>
            <w:r>
              <w:rPr>
                <w:rStyle w:val="StrongEmphasis"/>
              </w:rPr>
              <w:t>(Unaudited)</w:t>
            </w:r>
          </w:p>
        </w:tc>
        <w:tc>
          <w:tcPr>
            <w:tcW w:w="146" w:type="dxa"/>
            <w:tcBorders/>
            <w:vAlign w:val="center"/>
          </w:tcPr>
          <w:p>
            <w:pPr>
              <w:pStyle w:val="TableContents"/>
              <w:bidi w:val="0"/>
              <w:spacing w:before="0" w:after="283"/>
              <w:jc w:val="left"/>
              <w:rPr/>
            </w:pPr>
            <w:r>
              <w:rPr/>
              <w:t> </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center"/>
              <w:rPr/>
            </w:pPr>
            <w:r>
              <w:rPr>
                <w:rStyle w:val="StrongEmphasis"/>
              </w:rPr>
              <w:t>(Unaudited)</w:t>
            </w:r>
          </w:p>
        </w:tc>
      </w:tr>
      <w:tr>
        <w:trPr/>
        <w:tc>
          <w:tcPr>
            <w:tcW w:w="5601" w:type="dxa"/>
            <w:tcBorders/>
            <w:vAlign w:val="center"/>
          </w:tcPr>
          <w:p>
            <w:pPr>
              <w:pStyle w:val="TableContents"/>
              <w:bidi w:val="0"/>
              <w:spacing w:before="0" w:after="283"/>
              <w:jc w:val="center"/>
              <w:rPr/>
            </w:pPr>
            <w:r>
              <w:rPr>
                <w:rStyle w:val="StrongEmphasis"/>
              </w:rPr>
              <w:t>Assets</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left"/>
              <w:rPr/>
            </w:pPr>
            <w:r>
              <w:rPr>
                <w:rStyle w:val="StrongEmphasis"/>
              </w:rPr>
              <w:t>Current assets</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w:t>
            </w:r>
          </w:p>
        </w:tc>
        <w:tc>
          <w:tcPr>
            <w:tcW w:w="930" w:type="dxa"/>
            <w:tcBorders/>
            <w:vAlign w:val="center"/>
          </w:tcPr>
          <w:p>
            <w:pPr>
              <w:pStyle w:val="TableContents"/>
              <w:bidi w:val="0"/>
              <w:spacing w:before="0" w:after="283"/>
              <w:jc w:val="right"/>
              <w:rPr/>
            </w:pPr>
            <w:r>
              <w:rPr/>
              <w:t>50,288</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w:t>
            </w:r>
          </w:p>
        </w:tc>
        <w:tc>
          <w:tcPr>
            <w:tcW w:w="962" w:type="dxa"/>
            <w:tcBorders/>
            <w:vAlign w:val="center"/>
          </w:tcPr>
          <w:p>
            <w:pPr>
              <w:pStyle w:val="TableContents"/>
              <w:bidi w:val="0"/>
              <w:spacing w:before="0" w:after="283"/>
              <w:jc w:val="right"/>
              <w:rPr/>
            </w:pPr>
            <w:r>
              <w:rPr/>
              <w:t>127,860</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w:t>
            </w:r>
          </w:p>
        </w:tc>
        <w:tc>
          <w:tcPr>
            <w:tcW w:w="928" w:type="dxa"/>
            <w:tcBorders/>
            <w:vAlign w:val="center"/>
          </w:tcPr>
          <w:p>
            <w:pPr>
              <w:pStyle w:val="TableContents"/>
              <w:bidi w:val="0"/>
              <w:spacing w:before="0" w:after="283"/>
              <w:jc w:val="right"/>
              <w:rPr/>
            </w:pPr>
            <w:r>
              <w:rPr/>
              <w:t>78,804</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Marketable securities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46,977</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32,764</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27,936</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25,233</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13,957</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22,042</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157,282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146,995</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157,722</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16,507</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14,407</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14,258</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assets</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296,287</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335,983</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300,762</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Fixed assets, net</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68,290</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72,813</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77,756</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Operating lease right-of-use assets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214,226</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185,604</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193,809</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15,531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15,519</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15,334</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15,103</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15,513</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14,853</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Deferred tax assets, net</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6,310</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6,349</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8,781</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Other long-term assets</w:t>
            </w:r>
          </w:p>
        </w:tc>
        <w:tc>
          <w:tcPr>
            <w:tcW w:w="146"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11,643</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12,390</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12,093</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assets</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331,103</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308,188</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322,626</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3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930"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627,390</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w:t>
            </w:r>
          </w:p>
        </w:tc>
        <w:tc>
          <w:tcPr>
            <w:tcW w:w="962" w:type="dxa"/>
            <w:tcBorders/>
            <w:vAlign w:val="center"/>
          </w:tcPr>
          <w:p>
            <w:pPr>
              <w:pStyle w:val="TableContents"/>
              <w:bidi w:val="0"/>
              <w:spacing w:before="0" w:after="283"/>
              <w:jc w:val="right"/>
              <w:rPr/>
            </w:pPr>
            <w:r>
              <w:rPr/>
              <w:t>644,171</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623,388</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center"/>
              <w:rPr/>
            </w:pPr>
            <w:r>
              <w:rPr>
                <w:rStyle w:val="StrongEmphasis"/>
              </w:rPr>
              <w:t>Liabilities and Shareholders’ Equity</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left"/>
              <w:rPr/>
            </w:pPr>
            <w:r>
              <w:rPr>
                <w:rStyle w:val="StrongEmphasis"/>
              </w:rPr>
              <w:t>Current liabilities</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w:t>
            </w:r>
          </w:p>
        </w:tc>
        <w:tc>
          <w:tcPr>
            <w:tcW w:w="930" w:type="dxa"/>
            <w:tcBorders/>
            <w:vAlign w:val="center"/>
          </w:tcPr>
          <w:p>
            <w:pPr>
              <w:pStyle w:val="TableContents"/>
              <w:bidi w:val="0"/>
              <w:spacing w:before="0" w:after="283"/>
              <w:jc w:val="right"/>
              <w:rPr/>
            </w:pPr>
            <w:r>
              <w:rPr/>
              <w:t>68,141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w:t>
            </w:r>
          </w:p>
        </w:tc>
        <w:tc>
          <w:tcPr>
            <w:tcW w:w="962" w:type="dxa"/>
            <w:tcBorders/>
            <w:vAlign w:val="center"/>
          </w:tcPr>
          <w:p>
            <w:pPr>
              <w:pStyle w:val="TableContents"/>
              <w:bidi w:val="0"/>
              <w:spacing w:before="0" w:after="283"/>
              <w:jc w:val="right"/>
              <w:rPr/>
            </w:pPr>
            <w:r>
              <w:rPr/>
              <w:t>49,150</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w:t>
            </w:r>
          </w:p>
        </w:tc>
        <w:tc>
          <w:tcPr>
            <w:tcW w:w="928" w:type="dxa"/>
            <w:tcBorders/>
            <w:vAlign w:val="center"/>
          </w:tcPr>
          <w:p>
            <w:pPr>
              <w:pStyle w:val="TableContents"/>
              <w:bidi w:val="0"/>
              <w:spacing w:before="0" w:after="283"/>
              <w:jc w:val="right"/>
              <w:rPr/>
            </w:pPr>
            <w:r>
              <w:rPr/>
              <w:t>69,181</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20,281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28,221</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21,443</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59,203</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54,023</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55,608</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Other current liabilities</w:t>
            </w:r>
          </w:p>
        </w:tc>
        <w:tc>
          <w:tcPr>
            <w:tcW w:w="146"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25,180</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36,136</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24,777</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liabilities</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172,805</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167,530</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171,009</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Long-term operating lease liabilities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168,001</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145,306</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153,115</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Other long-term liabilities</w:t>
            </w:r>
          </w:p>
        </w:tc>
        <w:tc>
          <w:tcPr>
            <w:tcW w:w="146"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7,571</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7,050</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6,827</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long-term liabilities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175,572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152,356</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159,942</w:t>
            </w:r>
          </w:p>
        </w:tc>
        <w:tc>
          <w:tcPr>
            <w:tcW w:w="243" w:type="dxa"/>
            <w:tcBorders/>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348,377</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319,886</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330,951</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rStyle w:val="StrongEmphasis"/>
              </w:rPr>
              <w:t>Shareholders’ equity</w:t>
            </w:r>
          </w:p>
        </w:tc>
        <w:tc>
          <w:tcPr>
            <w:tcW w:w="146"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07" w:type="dxa"/>
            <w:gridSpan w:val="3"/>
            <w:tcBorders/>
            <w:vAlign w:val="center"/>
          </w:tcPr>
          <w:p>
            <w:pPr>
              <w:pStyle w:val="TableContents"/>
              <w:bidi w:val="0"/>
              <w:spacing w:before="0" w:after="283"/>
              <w:jc w:val="right"/>
              <w:rPr/>
            </w:pPr>
            <w:r>
              <w:rPr/>
              <w:t> </w:t>
            </w:r>
          </w:p>
        </w:tc>
      </w:tr>
      <w:tr>
        <w:trPr/>
        <w:tc>
          <w:tcPr>
            <w:tcW w:w="5601" w:type="dxa"/>
            <w:tcBorders/>
            <w:vAlign w:val="center"/>
          </w:tcPr>
          <w:p>
            <w:pPr>
              <w:pStyle w:val="TableContents"/>
              <w:bidi w:val="0"/>
              <w:spacing w:before="0" w:after="283"/>
              <w:jc w:val="left"/>
              <w:rPr/>
            </w:pPr>
            <w:r>
              <w:rPr/>
              <w:t>Preferred stock, no par value, 20,000 shares authorized; none issued and outstanding</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Common stock, no par value, 50,000 shares authorized; 15,854 shares issued and outstanding at August 1, 2026, 16,971 shares issued and outstanding at January 31, 2026, and 17,221 shares issued and outstanding at August 2, 2025</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215,742</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211,764</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207,388</w:t>
            </w:r>
          </w:p>
        </w:tc>
        <w:tc>
          <w:tcPr>
            <w:tcW w:w="243" w:type="dxa"/>
            <w:tcBorders/>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Accumulated other comprehensive loss</w:t>
            </w:r>
          </w:p>
        </w:tc>
        <w:tc>
          <w:tcPr>
            <w:tcW w:w="146"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right"/>
              <w:rPr/>
            </w:pPr>
            <w:r>
              <w:rPr/>
              <w:t> </w:t>
            </w:r>
          </w:p>
        </w:tc>
        <w:tc>
          <w:tcPr>
            <w:tcW w:w="930" w:type="dxa"/>
            <w:tcBorders/>
            <w:vAlign w:val="center"/>
          </w:tcPr>
          <w:p>
            <w:pPr>
              <w:pStyle w:val="TableContents"/>
              <w:bidi w:val="0"/>
              <w:spacing w:before="0" w:after="283"/>
              <w:jc w:val="right"/>
              <w:rPr/>
            </w:pPr>
            <w:r>
              <w:rPr/>
              <w:t>(14,994</w:t>
            </w:r>
          </w:p>
        </w:tc>
        <w:tc>
          <w:tcPr>
            <w:tcW w:w="189"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c>
          <w:tcPr>
            <w:tcW w:w="962" w:type="dxa"/>
            <w:tcBorders/>
            <w:vAlign w:val="center"/>
          </w:tcPr>
          <w:p>
            <w:pPr>
              <w:pStyle w:val="TableContents"/>
              <w:bidi w:val="0"/>
              <w:spacing w:before="0" w:after="283"/>
              <w:jc w:val="right"/>
              <w:rPr/>
            </w:pPr>
            <w:r>
              <w:rPr/>
              <w:t>(11,438</w:t>
            </w:r>
          </w:p>
        </w:tc>
        <w:tc>
          <w:tcPr>
            <w:tcW w:w="196"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right"/>
              <w:rPr/>
            </w:pPr>
            <w:r>
              <w:rPr/>
              <w:t> </w:t>
            </w:r>
          </w:p>
        </w:tc>
        <w:tc>
          <w:tcPr>
            <w:tcW w:w="928" w:type="dxa"/>
            <w:tcBorders/>
            <w:vAlign w:val="center"/>
          </w:tcPr>
          <w:p>
            <w:pPr>
              <w:pStyle w:val="TableContents"/>
              <w:bidi w:val="0"/>
              <w:spacing w:before="0" w:after="283"/>
              <w:jc w:val="right"/>
              <w:rPr/>
            </w:pPr>
            <w:r>
              <w:rPr/>
              <w:t>(15,684</w:t>
            </w:r>
          </w:p>
        </w:tc>
        <w:tc>
          <w:tcPr>
            <w:tcW w:w="243" w:type="dxa"/>
            <w:tcBorders/>
            <w:vAlign w:val="center"/>
          </w:tcPr>
          <w:p>
            <w:pPr>
              <w:pStyle w:val="TableContents"/>
              <w:bidi w:val="0"/>
              <w:spacing w:before="0" w:after="283"/>
              <w:jc w:val="left"/>
              <w:rPr/>
            </w:pPr>
            <w:r>
              <w:rPr/>
              <w:t>)</w:t>
            </w:r>
          </w:p>
        </w:tc>
      </w:tr>
      <w:tr>
        <w:trPr/>
        <w:tc>
          <w:tcPr>
            <w:tcW w:w="5601" w:type="dxa"/>
            <w:tcBorders/>
            <w:vAlign w:val="center"/>
          </w:tcPr>
          <w:p>
            <w:pPr>
              <w:pStyle w:val="TableContents"/>
              <w:bidi w:val="0"/>
              <w:spacing w:before="0" w:after="283"/>
              <w:jc w:val="left"/>
              <w:rPr/>
            </w:pPr>
            <w:r>
              <w:rPr/>
              <w:t>Retained earnings</w:t>
            </w:r>
          </w:p>
        </w:tc>
        <w:tc>
          <w:tcPr>
            <w:tcW w:w="146" w:type="dxa"/>
            <w:tcBorders/>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78,265</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123,959</w:t>
            </w:r>
          </w:p>
        </w:tc>
        <w:tc>
          <w:tcPr>
            <w:tcW w:w="1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100,733</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shareholders’ equity</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279,013</w:t>
            </w:r>
          </w:p>
        </w:tc>
        <w:tc>
          <w:tcPr>
            <w:tcW w:w="1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324,285</w:t>
            </w:r>
          </w:p>
        </w:tc>
        <w:tc>
          <w:tcPr>
            <w:tcW w:w="1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292,437</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shareholders’ equity</w:t>
            </w:r>
          </w:p>
        </w:tc>
        <w:tc>
          <w:tcPr>
            <w:tcW w:w="146" w:type="dxa"/>
            <w:tcBorders/>
            <w:vAlign w:val="center"/>
          </w:tcPr>
          <w:p>
            <w:pPr>
              <w:pStyle w:val="TableContents"/>
              <w:bidi w:val="0"/>
              <w:spacing w:before="0" w:after="283"/>
              <w:jc w:val="left"/>
              <w:rPr/>
            </w:pPr>
            <w:r>
              <w:rPr/>
              <w:t> </w:t>
            </w:r>
          </w:p>
        </w:tc>
        <w:tc>
          <w:tcPr>
            <w:tcW w:w="23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3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627,390</w:t>
            </w:r>
          </w:p>
        </w:tc>
        <w:tc>
          <w:tcPr>
            <w:tcW w:w="1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644,171</w:t>
            </w:r>
          </w:p>
        </w:tc>
        <w:tc>
          <w:tcPr>
            <w:tcW w:w="19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623,388</w:t>
            </w:r>
          </w:p>
        </w:tc>
        <w:tc>
          <w:tcPr>
            <w:tcW w:w="2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5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7"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r>
    </w:tbl>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6750"/>
        <w:gridCol w:w="146"/>
        <w:gridCol w:w="272"/>
        <w:gridCol w:w="1068"/>
        <w:gridCol w:w="217"/>
        <w:gridCol w:w="146"/>
        <w:gridCol w:w="270"/>
        <w:gridCol w:w="1062"/>
        <w:gridCol w:w="274"/>
      </w:tblGrid>
      <w:tr>
        <w:trPr/>
        <w:tc>
          <w:tcPr>
            <w:tcW w:w="10205" w:type="dxa"/>
            <w:gridSpan w:val="9"/>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pPr>
            <w:r>
              <w:rPr>
                <w:rStyle w:val="StrongEmphasis"/>
              </w:rPr>
              <w:t>ZUMIEZ INC.</w:t>
              <w:br/>
              <w:t>CONDENSED CONSOLIDATED STATEMENTS OF CASH FLOWS</w:t>
              <w:br/>
              <w:t>(In thousands)</w:t>
              <w:br/>
              <w:t>(Unaudited)</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09" w:type="dxa"/>
            <w:gridSpan w:val="7"/>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09"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7"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1, 2026</w:t>
            </w:r>
          </w:p>
        </w:tc>
        <w:tc>
          <w:tcPr>
            <w:tcW w:w="146" w:type="dxa"/>
            <w:tcBorders/>
            <w:vAlign w:val="center"/>
          </w:tcPr>
          <w:p>
            <w:pPr>
              <w:pStyle w:val="TableContents"/>
              <w:bidi w:val="0"/>
              <w:spacing w:before="0" w:after="283"/>
              <w:jc w:val="left"/>
              <w:rPr/>
            </w:pPr>
            <w:r>
              <w:rPr/>
              <w:t> </w:t>
            </w:r>
          </w:p>
        </w:tc>
        <w:tc>
          <w:tcPr>
            <w:tcW w:w="160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2, 2025</w:t>
            </w:r>
          </w:p>
        </w:tc>
      </w:tr>
      <w:tr>
        <w:trPr/>
        <w:tc>
          <w:tcPr>
            <w:tcW w:w="6750" w:type="dxa"/>
            <w:tcBorders/>
            <w:vAlign w:val="center"/>
          </w:tcPr>
          <w:p>
            <w:pPr>
              <w:pStyle w:val="TableContents"/>
              <w:bidi w:val="0"/>
              <w:spacing w:before="0" w:after="283"/>
              <w:jc w:val="left"/>
              <w:rPr/>
            </w:pPr>
            <w:r>
              <w:rPr>
                <w:rStyle w:val="StrongEmphasis"/>
              </w:rPr>
              <w:t>Cash flows from operating activities:</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w:t>
            </w:r>
          </w:p>
        </w:tc>
        <w:tc>
          <w:tcPr>
            <w:tcW w:w="1068" w:type="dxa"/>
            <w:tcBorders/>
            <w:vAlign w:val="center"/>
          </w:tcPr>
          <w:p>
            <w:pPr>
              <w:pStyle w:val="TableContents"/>
              <w:bidi w:val="0"/>
              <w:spacing w:before="0" w:after="283"/>
              <w:jc w:val="right"/>
              <w:rPr/>
            </w:pPr>
            <w:r>
              <w:rPr/>
              <w:t>(16,009</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w:t>
            </w:r>
          </w:p>
        </w:tc>
        <w:tc>
          <w:tcPr>
            <w:tcW w:w="1062" w:type="dxa"/>
            <w:tcBorders/>
            <w:vAlign w:val="center"/>
          </w:tcPr>
          <w:p>
            <w:pPr>
              <w:pStyle w:val="TableContents"/>
              <w:bidi w:val="0"/>
              <w:spacing w:before="0" w:after="283"/>
              <w:jc w:val="right"/>
              <w:rPr/>
            </w:pPr>
            <w:r>
              <w:rPr/>
              <w:t>(15,333</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Adjustments to reconcile net loss to net cash used in operating activities:</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t>Depreciation, amortization and accretion</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9,640</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10,707</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32,589</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31,452</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Deferred taxes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44</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(81</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Stock-based compensation expense</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3,944</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3,621</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Impairment of long-lived assets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598</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777</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703</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(693</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Changes in operating assets and liabilities:</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Receivables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(7,815</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(6,768</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Inventories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(11,769</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(7,540</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(1,778</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(1,836</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Trade accounts payable</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19,787</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18,682</w:t>
            </w:r>
          </w:p>
        </w:tc>
        <w:tc>
          <w:tcPr>
            <w:tcW w:w="274" w:type="dxa"/>
            <w:tcBorders/>
            <w:vAlign w:val="center"/>
          </w:tcPr>
          <w:p>
            <w:pPr>
              <w:pStyle w:val="TableContents"/>
              <w:bidi w:val="0"/>
              <w:spacing w:before="0" w:after="283"/>
              <w:jc w:val="lef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Accrued payroll and payroll taxes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(7,772</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(1,070</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Income taxes payable</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(11,145</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(4,775</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Operating lease liabilities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(34,650</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(35,065</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(3,643</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(1,579</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rStyle w:val="StrongEmphasis"/>
              </w:rPr>
              <w:t>Net cash used in operating activities</w:t>
            </w:r>
          </w:p>
        </w:tc>
        <w:tc>
          <w:tcPr>
            <w:tcW w:w="146" w:type="dxa"/>
            <w:tcBorders/>
            <w:vAlign w:val="center"/>
          </w:tcPr>
          <w:p>
            <w:pPr>
              <w:pStyle w:val="TableContents"/>
              <w:bidi w:val="0"/>
              <w:spacing w:before="0" w:after="283"/>
              <w:jc w:val="left"/>
              <w:rPr/>
            </w:pPr>
            <w:r>
              <w:rPr/>
              <w:t> </w:t>
            </w:r>
          </w:p>
        </w:tc>
        <w:tc>
          <w:tcPr>
            <w:tcW w:w="2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(27,276</w:t>
            </w:r>
          </w:p>
        </w:tc>
        <w:tc>
          <w:tcPr>
            <w:tcW w:w="2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(9,501</w:t>
            </w:r>
          </w:p>
        </w:tc>
        <w:tc>
          <w:tcPr>
            <w:tcW w:w="2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rStyle w:val="StrongEmphasis"/>
              </w:rPr>
              <w:t>Cash flows from investing activities:</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t>Additions to fixed assets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(4,880</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(5,317</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Purchases of marketable securities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(28,512</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(8,044</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Sales and maturities of marketable securities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13,510</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16,881</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rStyle w:val="StrongEmphasis"/>
              </w:rPr>
              <w:t>Net cash (used in) provided by investing activities</w:t>
            </w:r>
          </w:p>
        </w:tc>
        <w:tc>
          <w:tcPr>
            <w:tcW w:w="146" w:type="dxa"/>
            <w:tcBorders/>
            <w:vAlign w:val="center"/>
          </w:tcPr>
          <w:p>
            <w:pPr>
              <w:pStyle w:val="TableContents"/>
              <w:bidi w:val="0"/>
              <w:spacing w:before="0" w:after="283"/>
              <w:jc w:val="left"/>
              <w:rPr/>
            </w:pPr>
            <w:r>
              <w:rPr/>
              <w:t> </w:t>
            </w:r>
          </w:p>
        </w:tc>
        <w:tc>
          <w:tcPr>
            <w:tcW w:w="2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(19,882</w:t>
            </w:r>
          </w:p>
        </w:tc>
        <w:tc>
          <w:tcPr>
            <w:tcW w:w="2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3,520</w:t>
            </w:r>
          </w:p>
        </w:tc>
        <w:tc>
          <w:tcPr>
            <w:tcW w:w="2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rStyle w:val="StrongEmphasis"/>
              </w:rPr>
              <w:t>Cash flows from financing activities:</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t>Proceeds from revolving credit facilities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16,441</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Payments on revolving credit facilities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(16,441</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Proceeds from the issuance and exercise of stock-based awards, net of tax</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34</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185</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Repurchase of common stock</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(28,972</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(32,682</w:t>
            </w:r>
          </w:p>
        </w:tc>
        <w:tc>
          <w:tcPr>
            <w:tcW w:w="274" w:type="dxa"/>
            <w:tcBorders/>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rStyle w:val="StrongEmphasis"/>
              </w:rPr>
              <w:t>Net cash used in financing activities</w:t>
            </w:r>
          </w:p>
        </w:tc>
        <w:tc>
          <w:tcPr>
            <w:tcW w:w="146" w:type="dxa"/>
            <w:tcBorders/>
            <w:vAlign w:val="center"/>
          </w:tcPr>
          <w:p>
            <w:pPr>
              <w:pStyle w:val="TableContents"/>
              <w:bidi w:val="0"/>
              <w:spacing w:before="0" w:after="283"/>
              <w:jc w:val="left"/>
              <w:rPr/>
            </w:pPr>
            <w:r>
              <w:rPr/>
              <w:t> </w:t>
            </w:r>
          </w:p>
        </w:tc>
        <w:tc>
          <w:tcPr>
            <w:tcW w:w="27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(28,938</w:t>
            </w:r>
          </w:p>
        </w:tc>
        <w:tc>
          <w:tcPr>
            <w:tcW w:w="21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(32,497</w:t>
            </w:r>
          </w:p>
        </w:tc>
        <w:tc>
          <w:tcPr>
            <w:tcW w:w="27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vAlign w:val="center"/>
          </w:tcPr>
          <w:p>
            <w:pPr>
              <w:pStyle w:val="TableContents"/>
              <w:bidi w:val="0"/>
              <w:spacing w:before="0" w:after="283"/>
              <w:jc w:val="left"/>
              <w:rPr/>
            </w:pPr>
            <w:r>
              <w:rPr>
                <w:rStyle w:val="StrongEmphasis"/>
              </w:rPr>
              <w:t>Effect of exchange rate changes on cash, cash equivalents, and restricted cash</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(1,605</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1,614</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rStyle w:val="StrongEmphasis"/>
              </w:rPr>
              <w:t>Net decrease in cash, cash equivalents, and restricted cash</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(77,701</w:t>
            </w:r>
          </w:p>
        </w:tc>
        <w:tc>
          <w:tcPr>
            <w:tcW w:w="217"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(36,864</w:t>
            </w:r>
          </w:p>
        </w:tc>
        <w:tc>
          <w:tcPr>
            <w:tcW w:w="274" w:type="dxa"/>
            <w:tcBorders/>
            <w:vAlign w:val="center"/>
          </w:tcPr>
          <w:p>
            <w:pPr>
              <w:pStyle w:val="TableContents"/>
              <w:bidi w:val="0"/>
              <w:spacing w:before="0" w:after="283"/>
              <w:jc w:val="left"/>
              <w:rPr/>
            </w:pPr>
            <w:r>
              <w:rPr/>
              <w:t>)</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beginning of period</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134,113</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121,529</w:t>
            </w:r>
          </w:p>
        </w:tc>
        <w:tc>
          <w:tcPr>
            <w:tcW w:w="274" w:type="dxa"/>
            <w:tcBorders/>
            <w:vAlign w:val="center"/>
          </w:tcPr>
          <w:p>
            <w:pPr>
              <w:pStyle w:val="TableContents"/>
              <w:bidi w:val="0"/>
              <w:spacing w:before="0" w:after="283"/>
              <w:jc w:val="lef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end of period</w:t>
            </w:r>
          </w:p>
        </w:tc>
        <w:tc>
          <w:tcPr>
            <w:tcW w:w="146" w:type="dxa"/>
            <w:tcBorders/>
            <w:vAlign w:val="center"/>
          </w:tcPr>
          <w:p>
            <w:pPr>
              <w:pStyle w:val="TableContents"/>
              <w:bidi w:val="0"/>
              <w:spacing w:before="0" w:after="283"/>
              <w:jc w:val="left"/>
              <w:rPr/>
            </w:pPr>
            <w:r>
              <w:rPr/>
              <w:t> </w:t>
            </w:r>
          </w:p>
        </w:tc>
        <w:tc>
          <w:tcPr>
            <w:tcW w:w="27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56,412</w:t>
            </w:r>
          </w:p>
        </w:tc>
        <w:tc>
          <w:tcPr>
            <w:tcW w:w="21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84,665</w:t>
            </w:r>
          </w:p>
        </w:tc>
        <w:tc>
          <w:tcPr>
            <w:tcW w:w="27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rStyle w:val="StrongEmphasis"/>
              </w:rPr>
              <w:t>Supplemental disclosure on cash flow information:</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Cash paid during the period for income taxes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w:t>
            </w:r>
          </w:p>
        </w:tc>
        <w:tc>
          <w:tcPr>
            <w:tcW w:w="1068" w:type="dxa"/>
            <w:tcBorders/>
            <w:vAlign w:val="center"/>
          </w:tcPr>
          <w:p>
            <w:pPr>
              <w:pStyle w:val="TableContents"/>
              <w:bidi w:val="0"/>
              <w:spacing w:before="0" w:after="283"/>
              <w:jc w:val="right"/>
              <w:rPr/>
            </w:pPr>
            <w:r>
              <w:rPr/>
              <w:t>11,146</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w:t>
            </w:r>
          </w:p>
        </w:tc>
        <w:tc>
          <w:tcPr>
            <w:tcW w:w="1062" w:type="dxa"/>
            <w:tcBorders/>
            <w:vAlign w:val="center"/>
          </w:tcPr>
          <w:p>
            <w:pPr>
              <w:pStyle w:val="TableContents"/>
              <w:bidi w:val="0"/>
              <w:spacing w:before="0" w:after="283"/>
              <w:jc w:val="right"/>
              <w:rPr/>
            </w:pPr>
            <w:r>
              <w:rPr/>
              <w:t>5,452</w:t>
            </w:r>
          </w:p>
        </w:tc>
        <w:tc>
          <w:tcPr>
            <w:tcW w:w="274" w:type="dxa"/>
            <w:tcBorders/>
            <w:vAlign w:val="center"/>
          </w:tcPr>
          <w:p>
            <w:pPr>
              <w:pStyle w:val="TableContents"/>
              <w:bidi w:val="0"/>
              <w:spacing w:before="0" w:after="283"/>
              <w:jc w:val="lef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Accrual for purchases of fixed assets</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1,409</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1,180</w:t>
            </w:r>
          </w:p>
        </w:tc>
        <w:tc>
          <w:tcPr>
            <w:tcW w:w="274" w:type="dxa"/>
            <w:tcBorders/>
            <w:vAlign w:val="center"/>
          </w:tcPr>
          <w:p>
            <w:pPr>
              <w:pStyle w:val="TableContents"/>
              <w:bidi w:val="0"/>
              <w:spacing w:before="0" w:after="283"/>
              <w:jc w:val="left"/>
              <w:rPr/>
            </w:pPr>
            <w:r>
              <w:rPr/>
              <w:t> </w:t>
            </w:r>
          </w:p>
        </w:tc>
      </w:tr>
      <w:tr>
        <w:trPr/>
        <w:tc>
          <w:tcPr>
            <w:tcW w:w="6750" w:type="dxa"/>
            <w:tcBorders/>
            <w:tcMar>
              <w:top w:w="0" w:type="dxa"/>
              <w:left w:w="0" w:type="dxa"/>
              <w:bottom w:w="0" w:type="dxa"/>
              <w:right w:w="0" w:type="dxa"/>
            </w:tcMar>
            <w:vAlign w:val="center"/>
          </w:tcPr>
          <w:p>
            <w:pPr>
              <w:pStyle w:val="TableContents"/>
              <w:bidi w:val="0"/>
              <w:spacing w:before="0" w:after="283"/>
              <w:jc w:val="left"/>
              <w:rPr/>
            </w:pPr>
            <w:r>
              <w:rPr/>
              <w:t>Accrual for repurchase of common stock</w:t>
            </w:r>
          </w:p>
        </w:tc>
        <w:tc>
          <w:tcPr>
            <w:tcW w:w="146"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right"/>
              <w:rPr/>
            </w:pPr>
            <w:r>
              <w:rPr/>
              <w:t> </w:t>
            </w:r>
          </w:p>
        </w:tc>
        <w:tc>
          <w:tcPr>
            <w:tcW w:w="1068" w:type="dxa"/>
            <w:tcBorders/>
            <w:vAlign w:val="center"/>
          </w:tcPr>
          <w:p>
            <w:pPr>
              <w:pStyle w:val="TableContents"/>
              <w:bidi w:val="0"/>
              <w:spacing w:before="0" w:after="283"/>
              <w:jc w:val="right"/>
              <w:rPr/>
            </w:pPr>
            <w:r>
              <w:rPr/>
              <w:t>714</w:t>
            </w:r>
          </w:p>
        </w:tc>
        <w:tc>
          <w:tcPr>
            <w:tcW w:w="2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 </w:t>
            </w:r>
          </w:p>
        </w:tc>
        <w:tc>
          <w:tcPr>
            <w:tcW w:w="1062" w:type="dxa"/>
            <w:tcBorders/>
            <w:vAlign w:val="center"/>
          </w:tcPr>
          <w:p>
            <w:pPr>
              <w:pStyle w:val="TableContents"/>
              <w:bidi w:val="0"/>
              <w:spacing w:before="0" w:after="283"/>
              <w:jc w:val="right"/>
              <w:rPr/>
            </w:pPr>
            <w:r>
              <w:rPr/>
              <w:t>426</w:t>
            </w:r>
          </w:p>
        </w:tc>
        <w:tc>
          <w:tcPr>
            <w:tcW w:w="274" w:type="dxa"/>
            <w:tcBorders/>
            <w:vAlign w:val="center"/>
          </w:tcPr>
          <w:p>
            <w:pPr>
              <w:pStyle w:val="TableContents"/>
              <w:bidi w:val="0"/>
              <w:spacing w:before="0" w:after="283"/>
              <w:jc w:val="left"/>
              <w:rPr/>
            </w:pPr>
            <w:r>
              <w:rPr/>
              <w:t> </w:t>
            </w:r>
          </w:p>
        </w:tc>
      </w:tr>
      <w:tr>
        <w:trPr/>
        <w:tc>
          <w:tcPr>
            <w:tcW w:w="67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57"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06" w:type="dxa"/>
            <w:gridSpan w:val="3"/>
            <w:tcBorders/>
            <w:vAlign w:val="center"/>
          </w:tcPr>
          <w:p>
            <w:pPr>
              <w:pStyle w:val="TableContents"/>
              <w:bidi w:val="0"/>
              <w:spacing w:before="0" w:after="283"/>
              <w:jc w:val="right"/>
              <w:rPr/>
            </w:pPr>
            <w:r>
              <w:rPr/>
              <w:t> </w:t>
            </w:r>
          </w:p>
        </w:tc>
      </w:tr>
    </w:tbl>
    <w:p>
      <w:pPr>
        <w:pStyle w:val="TextBody"/>
        <w:bidi w:val="0"/>
        <w:spacing w:before="0" w:after="283"/>
        <w:jc w:val="left"/>
        <w:rPr/>
      </w:pPr>
      <w:r>
        <w:rPr>
          <w:rStyle w:val="StrongEmphasis"/>
        </w:rPr>
        <w:t>Company Contact:</w:t>
      </w:r>
      <w:r>
        <w:rPr/>
        <w:br/>
        <w:t>Darin White</w:t>
        <w:br/>
        <w:t xml:space="preserve">Director of Finance &amp; </w:t>
        <w:br/>
        <w:t>Investor Relations</w:t>
        <w:br/>
        <w:t>Zumiez Inc.</w:t>
        <w:br/>
        <w:t>(425) 551-1500, ext. 1337</w:t>
      </w:r>
    </w:p>
    <w:p>
      <w:pPr>
        <w:pStyle w:val="TextBody"/>
        <w:bidi w:val="0"/>
        <w:spacing w:before="0" w:after="283"/>
        <w:jc w:val="left"/>
        <w:rPr/>
      </w:pPr>
      <w:r>
        <w:rPr>
          <w:rStyle w:val="StrongEmphasis"/>
        </w:rPr>
        <w:t>Investor Contact:</w:t>
      </w:r>
      <w:r>
        <w:rPr/>
        <w:br/>
        <w:t>ICR</w:t>
        <w:br/>
        <w:t xml:space="preserve">Brendon Frey </w:t>
        <w:br/>
        <w:t>(203) 682-8200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2403</Words>
  <Characters>12982</Characters>
  <CharactersWithSpaces>15658</CharactersWithSpaces>
  <Paragraphs>1418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