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SECTION 13 OR 15(D) OF THE</w:t>
      </w: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16, 2006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ZUMIEZ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6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000-51300</w:t>
            </w:r>
          </w:p>
        </w:tc>
        <w:tc>
          <w:tcPr>
            <w:tcW w:w="3640" w:type="dxa"/>
            <w:vAlign w:val="bottom"/>
          </w:tcPr>
          <w:p>
            <w:pPr>
              <w:jc w:val="right"/>
              <w:ind w:right="710"/>
              <w:spacing w:after="0"/>
              <w:rPr>
                <w:sz w:val="20"/>
                <w:szCs w:val="20"/>
                <w:color w:val="auto"/>
              </w:rPr>
            </w:pPr>
            <w:r>
              <w:rPr>
                <w:rFonts w:ascii="Arial" w:cs="Arial" w:eastAsia="Arial" w:hAnsi="Arial"/>
                <w:sz w:val="18"/>
                <w:szCs w:val="18"/>
                <w:b w:val="1"/>
                <w:bCs w:val="1"/>
                <w:color w:val="auto"/>
              </w:rPr>
              <w:t>91-1040022</w:t>
            </w:r>
          </w:p>
        </w:tc>
      </w:tr>
      <w:tr>
        <w:trPr>
          <w:trHeight w:val="230"/>
        </w:trPr>
        <w:tc>
          <w:tcPr>
            <w:tcW w:w="5660" w:type="dxa"/>
            <w:vAlign w:val="bottom"/>
          </w:tcPr>
          <w:p>
            <w:pPr>
              <w:jc w:val="center"/>
              <w:ind w:right="107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6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2"/>
              </w:rPr>
              <w:t>6300 Merrill Creek Parkway, Suite B, Everett, Washington</w:t>
            </w:r>
          </w:p>
        </w:tc>
        <w:tc>
          <w:tcPr>
            <w:tcW w:w="3640" w:type="dxa"/>
            <w:vAlign w:val="bottom"/>
          </w:tcPr>
          <w:p>
            <w:pPr>
              <w:jc w:val="right"/>
              <w:ind w:right="930"/>
              <w:spacing w:after="0"/>
              <w:rPr>
                <w:sz w:val="20"/>
                <w:szCs w:val="20"/>
                <w:color w:val="auto"/>
              </w:rPr>
            </w:pPr>
            <w:r>
              <w:rPr>
                <w:rFonts w:ascii="Arial" w:cs="Arial" w:eastAsia="Arial" w:hAnsi="Arial"/>
                <w:sz w:val="18"/>
                <w:szCs w:val="18"/>
                <w:b w:val="1"/>
                <w:bCs w:val="1"/>
                <w:color w:val="auto"/>
              </w:rPr>
              <w:t>98203</w:t>
            </w:r>
          </w:p>
        </w:tc>
      </w:tr>
      <w:tr>
        <w:trPr>
          <w:trHeight w:val="230"/>
        </w:trPr>
        <w:tc>
          <w:tcPr>
            <w:tcW w:w="56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(425) 551-1500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00" w:firstLine="2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3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3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3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3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20" w:firstLine="648"/>
        <w:spacing w:after="0" w:line="279" w:lineRule="auto"/>
        <w:rPr>
          <w:sz w:val="20"/>
          <w:szCs w:val="20"/>
          <w:color w:val="auto"/>
        </w:rPr>
      </w:pPr>
      <w:r>
        <w:rPr>
          <w:rFonts w:ascii="Arial" w:cs="Arial" w:eastAsia="Arial" w:hAnsi="Arial"/>
          <w:sz w:val="17"/>
          <w:szCs w:val="17"/>
          <w:color w:val="auto"/>
        </w:rPr>
        <w:t>On May 16, 2006, Zumiez Inc. (the “Company”) entered into an Equity Purchase Agreement (the “Purchase Agreement”) with Gerald R. Anderson (“Anderson”), Brandon C. Batton (“Batton”), AC Fast Forward LLC (“ACFF”) and AC Fast Forward Mgt., LLC (“ACFF Mgt”). The Purchase Agreement provides that, upon the terms and subject to the conditions set forth in the Purchase Agreement, the Company will acquire all of the outstanding equity interests of Action Concepts Fast Forward, Ltd. (“Fast Forward”) from Anderson, Batton, ACFF and ACFF Mgt (the “Acquisition”).</w:t>
      </w:r>
    </w:p>
    <w:p>
      <w:pPr>
        <w:spacing w:after="0" w:line="171"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aggregate purchase price to be paid in connection with the Acquisition will be approximately $14 million, subject to working capital and other adjustments as set forth in the Purchase Agreement. In connection with the Acquisition, Anderson and Batton have agreed not to compete with the Company and/or Fast Forward for a period of two years. The Purchase Agreement provides for a small escrow holdback amount to the purchase price and the Purchase Agreement also contains customary representations and warranties and indemnification provisions.</w:t>
      </w:r>
    </w:p>
    <w:p>
      <w:pPr>
        <w:spacing w:after="0" w:line="38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3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ind w:left="6340"/>
        <w:spacing w:after="0"/>
        <w:rPr>
          <w:sz w:val="20"/>
          <w:szCs w:val="20"/>
          <w:color w:val="auto"/>
        </w:rPr>
      </w:pPr>
      <w:r>
        <w:rPr>
          <w:rFonts w:ascii="Arial" w:cs="Arial" w:eastAsia="Arial" w:hAnsi="Arial"/>
          <w:sz w:val="18"/>
          <w:szCs w:val="18"/>
          <w:color w:val="auto"/>
        </w:rPr>
        <w:t>ZUMIEZ INC.</w:t>
      </w:r>
    </w:p>
    <w:p>
      <w:pPr>
        <w:spacing w:after="0" w:line="23" w:lineRule="exact"/>
        <w:rPr>
          <w:sz w:val="24"/>
          <w:szCs w:val="24"/>
          <w:color w:val="auto"/>
        </w:rPr>
      </w:pPr>
    </w:p>
    <w:p>
      <w:pPr>
        <w:ind w:left="6340"/>
        <w:spacing w:after="0"/>
        <w:rPr>
          <w:sz w:val="20"/>
          <w:szCs w:val="20"/>
          <w:color w:val="auto"/>
        </w:rPr>
      </w:pPr>
      <w:r>
        <w:rPr>
          <w:rFonts w:ascii="Arial" w:cs="Arial" w:eastAsia="Arial" w:hAnsi="Arial"/>
          <w:sz w:val="18"/>
          <w:szCs w:val="18"/>
          <w:color w:val="auto"/>
        </w:rPr>
        <w:t>(Registrant)</w:t>
      </w:r>
    </w:p>
    <w:p>
      <w:pPr>
        <w:spacing w:after="0" w:line="211" w:lineRule="exact"/>
        <w:rPr>
          <w:sz w:val="24"/>
          <w:szCs w:val="24"/>
          <w:color w:val="auto"/>
        </w:rPr>
      </w:pPr>
    </w:p>
    <w:p>
      <w:pPr>
        <w:spacing w:after="0"/>
        <w:tabs>
          <w:tab w:leader="none" w:pos="5700" w:val="left"/>
          <w:tab w:leader="none" w:pos="6320" w:val="left"/>
        </w:tabs>
        <w:rPr>
          <w:sz w:val="20"/>
          <w:szCs w:val="20"/>
          <w:color w:val="auto"/>
        </w:rPr>
      </w:pPr>
      <w:r>
        <w:rPr>
          <w:rFonts w:ascii="Arial" w:cs="Arial" w:eastAsia="Arial" w:hAnsi="Arial"/>
          <w:sz w:val="18"/>
          <w:szCs w:val="18"/>
          <w:color w:val="auto"/>
        </w:rPr>
        <w:t>Date: May 22,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Richard M. Brooks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4"/>
          <w:szCs w:val="24"/>
          <w:color w:val="auto"/>
        </w:rPr>
      </w:pPr>
    </w:p>
    <w:p>
      <w:pPr>
        <w:ind w:left="6340"/>
        <w:spacing w:after="0"/>
        <w:rPr>
          <w:sz w:val="20"/>
          <w:szCs w:val="20"/>
          <w:color w:val="auto"/>
        </w:rPr>
      </w:pPr>
      <w:r>
        <w:rPr>
          <w:rFonts w:ascii="Arial" w:cs="Arial" w:eastAsia="Arial" w:hAnsi="Arial"/>
          <w:sz w:val="18"/>
          <w:szCs w:val="18"/>
          <w:color w:val="auto"/>
        </w:rPr>
        <w:t>Richard M. Brooks</w:t>
      </w:r>
    </w:p>
    <w:p>
      <w:pPr>
        <w:sectPr>
          <w:pgSz w:w="11900" w:h="16838" w:orient="portrait"/>
          <w:cols w:equalWidth="0" w:num="1">
            <w:col w:w="11320"/>
          </w:cols>
          <w:pgMar w:left="240" w:top="585" w:right="339" w:bottom="0" w:gutter="0" w:footer="0" w:header="0"/>
        </w:sectPr>
      </w:pPr>
    </w:p>
    <w:bookmarkStart w:id="1" w:name="page2"/>
    <w:bookmarkEnd w:id="1"/>
    <w:p>
      <w:pPr>
        <w:jc w:val="right"/>
        <w:ind w:right="113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2019-12-12T05:36:09Z</dcterms:created>
  <dcterms:modified xsi:type="dcterms:W3CDTF">2019-12-12T05:36:09Z</dcterms:modified>
</cp:coreProperties>
</file>